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61C" w:rsidRPr="003F06E6" w:rsidRDefault="00B4561C" w:rsidP="00B4561C">
      <w:pPr>
        <w:shd w:val="clear" w:color="auto" w:fill="FFFFFF"/>
        <w:ind w:firstLine="0"/>
        <w:rPr>
          <w:rFonts w:eastAsia="Times New Roman" w:cs="Arial"/>
          <w:b/>
          <w:sz w:val="24"/>
        </w:rPr>
      </w:pPr>
      <w:r w:rsidRPr="003F06E6">
        <w:rPr>
          <w:rFonts w:eastAsia="Times New Roman" w:cs="Arial"/>
          <w:b/>
          <w:sz w:val="24"/>
        </w:rPr>
        <w:t>Department of Revenue</w:t>
      </w:r>
    </w:p>
    <w:p w:rsidR="00B4561C" w:rsidRPr="003F06E6" w:rsidRDefault="00B4561C" w:rsidP="00B4561C">
      <w:pPr>
        <w:shd w:val="clear" w:color="auto" w:fill="FFFFFF"/>
        <w:ind w:firstLine="0"/>
        <w:rPr>
          <w:rFonts w:eastAsia="Times New Roman" w:cs="Arial"/>
          <w:b/>
          <w:sz w:val="24"/>
        </w:rPr>
      </w:pPr>
      <w:r w:rsidRPr="003F06E6">
        <w:rPr>
          <w:rFonts w:eastAsia="Times New Roman" w:cs="Arial"/>
          <w:b/>
          <w:sz w:val="24"/>
        </w:rPr>
        <w:t xml:space="preserve">2022 Sales Tax </w:t>
      </w:r>
      <w:r w:rsidR="008B5C3A" w:rsidRPr="003F06E6">
        <w:rPr>
          <w:rFonts w:eastAsia="Times New Roman" w:cs="Arial"/>
          <w:b/>
          <w:sz w:val="24"/>
        </w:rPr>
        <w:t>Legislative</w:t>
      </w:r>
      <w:r w:rsidRPr="003F06E6">
        <w:rPr>
          <w:rFonts w:eastAsia="Times New Roman" w:cs="Arial"/>
          <w:b/>
          <w:sz w:val="24"/>
        </w:rPr>
        <w:t xml:space="preserve"> Proposals</w:t>
      </w:r>
    </w:p>
    <w:p w:rsidR="00B4561C" w:rsidRPr="003F06E6" w:rsidRDefault="00B4561C" w:rsidP="00B4561C">
      <w:pPr>
        <w:shd w:val="clear" w:color="auto" w:fill="FFFFFF"/>
        <w:ind w:firstLine="0"/>
        <w:rPr>
          <w:rFonts w:eastAsia="Times New Roman" w:cs="Arial"/>
          <w:sz w:val="24"/>
        </w:rPr>
      </w:pPr>
    </w:p>
    <w:p w:rsidR="00510105" w:rsidRPr="003F06E6" w:rsidRDefault="00510105" w:rsidP="00B4561C">
      <w:pPr>
        <w:shd w:val="clear" w:color="auto" w:fill="FFFFFF"/>
        <w:ind w:firstLine="0"/>
        <w:rPr>
          <w:rFonts w:eastAsia="Times New Roman" w:cs="Arial"/>
          <w:b/>
          <w:sz w:val="24"/>
        </w:rPr>
      </w:pPr>
      <w:r w:rsidRPr="003F06E6">
        <w:rPr>
          <w:rFonts w:eastAsia="Times New Roman" w:cs="Arial"/>
          <w:b/>
          <w:sz w:val="24"/>
        </w:rPr>
        <w:t>Overview</w:t>
      </w:r>
    </w:p>
    <w:p w:rsidR="00510105" w:rsidRPr="003F06E6" w:rsidRDefault="00510105" w:rsidP="00B4561C">
      <w:pPr>
        <w:shd w:val="clear" w:color="auto" w:fill="FFFFFF"/>
        <w:ind w:firstLine="0"/>
        <w:rPr>
          <w:rFonts w:eastAsia="Times New Roman" w:cs="Arial"/>
          <w:sz w:val="24"/>
        </w:rPr>
      </w:pPr>
    </w:p>
    <w:p w:rsidR="00510105" w:rsidRPr="003F06E6" w:rsidRDefault="00B4561C" w:rsidP="00510105">
      <w:pPr>
        <w:ind w:firstLine="0"/>
        <w:rPr>
          <w:rFonts w:eastAsia="Times New Roman" w:cs="Arial"/>
          <w:sz w:val="24"/>
        </w:rPr>
      </w:pPr>
      <w:r w:rsidRPr="00B4561C">
        <w:rPr>
          <w:rFonts w:eastAsia="Times New Roman" w:cs="Arial"/>
          <w:sz w:val="24"/>
        </w:rPr>
        <w:t xml:space="preserve">The Iowa Department of Revenue </w:t>
      </w:r>
      <w:r w:rsidRPr="003F06E6">
        <w:rPr>
          <w:rFonts w:eastAsia="Times New Roman" w:cs="Arial"/>
          <w:sz w:val="24"/>
        </w:rPr>
        <w:t>has just completed the first phase</w:t>
      </w:r>
      <w:r w:rsidRPr="00B4561C">
        <w:rPr>
          <w:rFonts w:eastAsia="Times New Roman" w:cs="Arial"/>
          <w:sz w:val="24"/>
        </w:rPr>
        <w:t xml:space="preserve"> of upgrad</w:t>
      </w:r>
      <w:r w:rsidRPr="003F06E6">
        <w:rPr>
          <w:rFonts w:eastAsia="Times New Roman" w:cs="Arial"/>
          <w:sz w:val="24"/>
        </w:rPr>
        <w:t>es to</w:t>
      </w:r>
      <w:r w:rsidRPr="00B4561C">
        <w:rPr>
          <w:rFonts w:eastAsia="Times New Roman" w:cs="Arial"/>
          <w:sz w:val="24"/>
        </w:rPr>
        <w:t xml:space="preserve"> its tax administration systems. Th</w:t>
      </w:r>
      <w:r w:rsidRPr="003F06E6">
        <w:rPr>
          <w:rFonts w:eastAsia="Times New Roman" w:cs="Arial"/>
          <w:sz w:val="24"/>
        </w:rPr>
        <w:t>is</w:t>
      </w:r>
      <w:r w:rsidRPr="00B4561C">
        <w:rPr>
          <w:rFonts w:eastAsia="Times New Roman" w:cs="Arial"/>
          <w:sz w:val="24"/>
        </w:rPr>
        <w:t xml:space="preserve"> first wave of changes </w:t>
      </w:r>
      <w:r w:rsidRPr="003F06E6">
        <w:rPr>
          <w:rFonts w:eastAsia="Times New Roman" w:cs="Arial"/>
          <w:sz w:val="24"/>
        </w:rPr>
        <w:t>touched</w:t>
      </w:r>
      <w:r w:rsidRPr="00B4561C">
        <w:rPr>
          <w:rFonts w:eastAsia="Times New Roman" w:cs="Arial"/>
          <w:sz w:val="24"/>
        </w:rPr>
        <w:t xml:space="preserve"> sales</w:t>
      </w:r>
      <w:r w:rsidRPr="003F06E6">
        <w:rPr>
          <w:rFonts w:eastAsia="Times New Roman" w:cs="Arial"/>
          <w:sz w:val="24"/>
        </w:rPr>
        <w:t xml:space="preserve"> and use</w:t>
      </w:r>
      <w:r w:rsidRPr="00B4561C">
        <w:rPr>
          <w:rFonts w:eastAsia="Times New Roman" w:cs="Arial"/>
          <w:sz w:val="24"/>
        </w:rPr>
        <w:t xml:space="preserve"> tax, </w:t>
      </w:r>
      <w:r w:rsidRPr="003F06E6">
        <w:rPr>
          <w:rFonts w:eastAsia="Times New Roman" w:cs="Arial"/>
          <w:sz w:val="24"/>
        </w:rPr>
        <w:t xml:space="preserve">motor fuel and other excise taxes, and </w:t>
      </w:r>
      <w:r w:rsidRPr="00B4561C">
        <w:rPr>
          <w:rFonts w:eastAsia="Times New Roman" w:cs="Arial"/>
          <w:sz w:val="24"/>
        </w:rPr>
        <w:t>income tax withholding. This new system will provide an immensely improved process for taxpayers to file returns and remit taxes due to the Department. </w:t>
      </w:r>
      <w:r w:rsidR="00510105" w:rsidRPr="003F06E6">
        <w:rPr>
          <w:rFonts w:eastAsia="Times New Roman" w:cs="Arial"/>
          <w:sz w:val="24"/>
        </w:rPr>
        <w:t>T</w:t>
      </w:r>
      <w:r w:rsidRPr="00B4561C">
        <w:rPr>
          <w:rFonts w:eastAsia="Times New Roman" w:cs="Arial"/>
          <w:sz w:val="24"/>
        </w:rPr>
        <w:t xml:space="preserve">he Department </w:t>
      </w:r>
      <w:r w:rsidR="00510105" w:rsidRPr="003F06E6">
        <w:rPr>
          <w:rFonts w:eastAsia="Times New Roman" w:cs="Arial"/>
          <w:sz w:val="24"/>
        </w:rPr>
        <w:t>proposes</w:t>
      </w:r>
      <w:r w:rsidRPr="00B4561C">
        <w:rPr>
          <w:rFonts w:eastAsia="Times New Roman" w:cs="Arial"/>
          <w:sz w:val="24"/>
        </w:rPr>
        <w:t xml:space="preserve"> additional changes to the process of obtaining permits and filing returns for sales and use tax</w:t>
      </w:r>
      <w:r w:rsidR="00510105" w:rsidRPr="003F06E6">
        <w:rPr>
          <w:rFonts w:eastAsia="Times New Roman" w:cs="Arial"/>
          <w:sz w:val="24"/>
        </w:rPr>
        <w:t xml:space="preserve"> to take effect July 1, 2022, once taxpayers and the Department have adjusted to the new system</w:t>
      </w:r>
      <w:r w:rsidRPr="00B4561C">
        <w:rPr>
          <w:rFonts w:eastAsia="Times New Roman" w:cs="Arial"/>
          <w:sz w:val="24"/>
        </w:rPr>
        <w:t>.</w:t>
      </w:r>
      <w:r w:rsidR="00510105" w:rsidRPr="003F06E6">
        <w:rPr>
          <w:rFonts w:eastAsia="Times New Roman" w:cs="Arial"/>
          <w:sz w:val="24"/>
        </w:rPr>
        <w:t xml:space="preserve"> </w:t>
      </w:r>
    </w:p>
    <w:p w:rsidR="00510105" w:rsidRPr="003F06E6" w:rsidRDefault="00510105" w:rsidP="00510105">
      <w:pPr>
        <w:ind w:firstLine="0"/>
        <w:rPr>
          <w:rFonts w:eastAsia="Times New Roman" w:cs="Arial"/>
          <w:sz w:val="24"/>
        </w:rPr>
      </w:pPr>
    </w:p>
    <w:p w:rsidR="00ED6B81" w:rsidRPr="003F06E6" w:rsidRDefault="00510105" w:rsidP="00510105">
      <w:pPr>
        <w:ind w:firstLine="0"/>
        <w:rPr>
          <w:rFonts w:eastAsia="Times New Roman" w:cs="Arial"/>
          <w:sz w:val="24"/>
        </w:rPr>
      </w:pPr>
      <w:r w:rsidRPr="003F06E6">
        <w:rPr>
          <w:rFonts w:eastAsia="Times New Roman" w:cs="Arial"/>
          <w:sz w:val="24"/>
        </w:rPr>
        <w:t>This bill will</w:t>
      </w:r>
      <w:r w:rsidRPr="00B4561C">
        <w:rPr>
          <w:rFonts w:eastAsia="Times New Roman" w:cs="Arial"/>
          <w:sz w:val="24"/>
        </w:rPr>
        <w:t xml:space="preserve"> </w:t>
      </w:r>
      <w:r w:rsidRPr="003F06E6">
        <w:rPr>
          <w:rFonts w:eastAsia="Times New Roman" w:cs="Arial"/>
          <w:sz w:val="24"/>
        </w:rPr>
        <w:t xml:space="preserve">require </w:t>
      </w:r>
      <w:r w:rsidRPr="00B4561C">
        <w:rPr>
          <w:rFonts w:eastAsia="Times New Roman" w:cs="Arial"/>
          <w:sz w:val="24"/>
        </w:rPr>
        <w:t xml:space="preserve">returns be filed </w:t>
      </w:r>
      <w:r w:rsidRPr="003F06E6">
        <w:rPr>
          <w:rFonts w:eastAsia="Times New Roman" w:cs="Arial"/>
          <w:sz w:val="24"/>
        </w:rPr>
        <w:t xml:space="preserve">on a </w:t>
      </w:r>
      <w:r w:rsidRPr="00B4561C">
        <w:rPr>
          <w:rFonts w:eastAsia="Times New Roman" w:cs="Arial"/>
          <w:sz w:val="24"/>
        </w:rPr>
        <w:t xml:space="preserve">monthly </w:t>
      </w:r>
      <w:r w:rsidRPr="003F06E6">
        <w:rPr>
          <w:rFonts w:eastAsia="Times New Roman" w:cs="Arial"/>
          <w:sz w:val="24"/>
        </w:rPr>
        <w:t xml:space="preserve">basis </w:t>
      </w:r>
      <w:r w:rsidRPr="00B4561C">
        <w:rPr>
          <w:rFonts w:eastAsia="Times New Roman" w:cs="Arial"/>
          <w:sz w:val="24"/>
        </w:rPr>
        <w:t xml:space="preserve">instead of quarterly (except for annual filers). </w:t>
      </w:r>
      <w:r w:rsidRPr="003F06E6">
        <w:rPr>
          <w:rFonts w:eastAsia="Times New Roman" w:cs="Arial"/>
          <w:sz w:val="24"/>
        </w:rPr>
        <w:t>The bill allows taxpayers to file</w:t>
      </w:r>
      <w:r w:rsidRPr="00B4561C">
        <w:rPr>
          <w:rFonts w:eastAsia="Times New Roman" w:cs="Arial"/>
          <w:sz w:val="24"/>
        </w:rPr>
        <w:t xml:space="preserve"> one combined return for sales and use taxes as well as one permit for both tax types</w:t>
      </w:r>
      <w:r w:rsidRPr="003F06E6">
        <w:rPr>
          <w:rFonts w:eastAsia="Times New Roman" w:cs="Arial"/>
          <w:sz w:val="24"/>
        </w:rPr>
        <w:t>, rather than separate permits and returns for each</w:t>
      </w:r>
      <w:r w:rsidRPr="00B4561C">
        <w:rPr>
          <w:rFonts w:eastAsia="Times New Roman" w:cs="Arial"/>
          <w:sz w:val="24"/>
        </w:rPr>
        <w:t>. There will no longer be semimonthly deposits</w:t>
      </w:r>
      <w:r w:rsidRPr="003F06E6">
        <w:rPr>
          <w:rFonts w:eastAsia="Times New Roman" w:cs="Arial"/>
          <w:sz w:val="24"/>
        </w:rPr>
        <w:t xml:space="preserve"> of sales tax collected</w:t>
      </w:r>
      <w:r w:rsidRPr="00B4561C">
        <w:rPr>
          <w:rFonts w:eastAsia="Times New Roman" w:cs="Arial"/>
          <w:sz w:val="24"/>
        </w:rPr>
        <w:t>. The annual filer threshold will be raised from $120 to $1,200 of tax collected annually. Monthly filers will be required to file electronically</w:t>
      </w:r>
      <w:r w:rsidRPr="003F06E6">
        <w:rPr>
          <w:rFonts w:eastAsia="Times New Roman" w:cs="Arial"/>
          <w:sz w:val="24"/>
        </w:rPr>
        <w:t xml:space="preserve">, </w:t>
      </w:r>
      <w:r w:rsidRPr="00B4561C">
        <w:rPr>
          <w:rFonts w:eastAsia="Times New Roman" w:cs="Arial"/>
          <w:sz w:val="24"/>
        </w:rPr>
        <w:t xml:space="preserve">unless they request permission from the Director otherwise, </w:t>
      </w:r>
      <w:r w:rsidRPr="003F06E6">
        <w:rPr>
          <w:rFonts w:eastAsia="Times New Roman" w:cs="Arial"/>
          <w:sz w:val="24"/>
        </w:rPr>
        <w:t>to allow for</w:t>
      </w:r>
      <w:r w:rsidRPr="00B4561C">
        <w:rPr>
          <w:rFonts w:eastAsia="Times New Roman" w:cs="Arial"/>
          <w:sz w:val="24"/>
        </w:rPr>
        <w:t xml:space="preserve"> taxpayers who cannot use computers</w:t>
      </w:r>
      <w:r w:rsidRPr="003F06E6">
        <w:rPr>
          <w:rFonts w:eastAsia="Times New Roman" w:cs="Arial"/>
          <w:sz w:val="24"/>
        </w:rPr>
        <w:t xml:space="preserve"> or have other factors prohibiting electronic filing</w:t>
      </w:r>
      <w:r w:rsidRPr="00B4561C">
        <w:rPr>
          <w:rFonts w:eastAsia="Times New Roman" w:cs="Arial"/>
          <w:sz w:val="24"/>
        </w:rPr>
        <w:t xml:space="preserve">. </w:t>
      </w:r>
    </w:p>
    <w:p w:rsidR="00ED6B81" w:rsidRPr="003F06E6" w:rsidRDefault="00ED6B81" w:rsidP="00510105">
      <w:pPr>
        <w:ind w:firstLine="0"/>
        <w:rPr>
          <w:rFonts w:eastAsia="Times New Roman" w:cs="Arial"/>
          <w:sz w:val="24"/>
        </w:rPr>
      </w:pPr>
    </w:p>
    <w:p w:rsidR="00510105" w:rsidRPr="00B4561C" w:rsidRDefault="00510105" w:rsidP="00510105">
      <w:pPr>
        <w:ind w:firstLine="0"/>
        <w:rPr>
          <w:rFonts w:eastAsia="Times New Roman" w:cs="Arial"/>
          <w:sz w:val="24"/>
        </w:rPr>
      </w:pPr>
      <w:r w:rsidRPr="003F06E6">
        <w:rPr>
          <w:rFonts w:eastAsia="Times New Roman" w:cs="Arial"/>
          <w:sz w:val="24"/>
        </w:rPr>
        <w:t>Additionally, with nearly all tax collections being remitted on a monthly basis, th</w:t>
      </w:r>
      <w:r w:rsidR="00ED6B81" w:rsidRPr="003F06E6">
        <w:rPr>
          <w:rFonts w:eastAsia="Times New Roman" w:cs="Arial"/>
          <w:sz w:val="24"/>
        </w:rPr>
        <w:t xml:space="preserve">is bill allows </w:t>
      </w:r>
      <w:r w:rsidRPr="003F06E6">
        <w:rPr>
          <w:rFonts w:eastAsia="Times New Roman" w:cs="Arial"/>
          <w:sz w:val="24"/>
        </w:rPr>
        <w:t xml:space="preserve">Department to distribute local option sales tax </w:t>
      </w:r>
      <w:r w:rsidRPr="00B4561C">
        <w:rPr>
          <w:rFonts w:eastAsia="Times New Roman" w:cs="Arial"/>
          <w:sz w:val="24"/>
        </w:rPr>
        <w:t>and</w:t>
      </w:r>
      <w:r w:rsidRPr="003F06E6">
        <w:rPr>
          <w:rFonts w:eastAsia="Times New Roman" w:cs="Arial"/>
          <w:sz w:val="24"/>
        </w:rPr>
        <w:t xml:space="preserve"> secure an advanced vision for education</w:t>
      </w:r>
      <w:r w:rsidRPr="00B4561C">
        <w:rPr>
          <w:rFonts w:eastAsia="Times New Roman" w:cs="Arial"/>
          <w:sz w:val="24"/>
        </w:rPr>
        <w:t xml:space="preserve"> </w:t>
      </w:r>
      <w:r w:rsidRPr="003F06E6">
        <w:rPr>
          <w:rFonts w:eastAsia="Times New Roman" w:cs="Arial"/>
          <w:sz w:val="24"/>
        </w:rPr>
        <w:t>funds</w:t>
      </w:r>
      <w:r w:rsidRPr="00B4561C">
        <w:rPr>
          <w:rFonts w:eastAsia="Times New Roman" w:cs="Arial"/>
          <w:sz w:val="24"/>
        </w:rPr>
        <w:t xml:space="preserve"> to local governments </w:t>
      </w:r>
      <w:r w:rsidRPr="003F06E6">
        <w:rPr>
          <w:rFonts w:eastAsia="Times New Roman" w:cs="Arial"/>
          <w:sz w:val="24"/>
        </w:rPr>
        <w:t xml:space="preserve">and school districts </w:t>
      </w:r>
      <w:r w:rsidRPr="00B4561C">
        <w:rPr>
          <w:rFonts w:eastAsia="Times New Roman" w:cs="Arial"/>
          <w:sz w:val="24"/>
        </w:rPr>
        <w:t>based on actual tax remitted rather than estimates</w:t>
      </w:r>
      <w:r w:rsidR="00ED6B81" w:rsidRPr="003F06E6">
        <w:rPr>
          <w:rFonts w:eastAsia="Times New Roman" w:cs="Arial"/>
          <w:sz w:val="24"/>
        </w:rPr>
        <w:t xml:space="preserve">. This </w:t>
      </w:r>
      <w:r w:rsidRPr="003F06E6">
        <w:rPr>
          <w:rFonts w:eastAsia="Times New Roman" w:cs="Arial"/>
          <w:sz w:val="24"/>
        </w:rPr>
        <w:t xml:space="preserve">will eliminate the need to make end-of-year adjustments </w:t>
      </w:r>
      <w:r w:rsidR="00ED6B81" w:rsidRPr="003F06E6">
        <w:rPr>
          <w:rFonts w:eastAsia="Times New Roman" w:cs="Arial"/>
          <w:sz w:val="24"/>
        </w:rPr>
        <w:t xml:space="preserve">after calculating actual remittances, improving the accuracy of distributions for these jurisdictions and greatly improving the administrative work by the Department. </w:t>
      </w:r>
    </w:p>
    <w:p w:rsidR="00510105" w:rsidRPr="00B4561C" w:rsidRDefault="00510105" w:rsidP="00510105">
      <w:pPr>
        <w:shd w:val="clear" w:color="auto" w:fill="FFFFFF"/>
        <w:ind w:firstLine="0"/>
        <w:rPr>
          <w:rFonts w:eastAsia="Times New Roman" w:cs="Arial"/>
          <w:sz w:val="24"/>
        </w:rPr>
      </w:pPr>
    </w:p>
    <w:p w:rsidR="003F06E6" w:rsidRDefault="003F06E6" w:rsidP="003F06E6">
      <w:pPr>
        <w:ind w:firstLine="0"/>
        <w:rPr>
          <w:rFonts w:eastAsia="Times New Roman" w:cs="Arial"/>
          <w:sz w:val="24"/>
        </w:rPr>
      </w:pPr>
      <w:r w:rsidRPr="003F06E6">
        <w:rPr>
          <w:rFonts w:eastAsia="Times New Roman" w:cs="Arial"/>
          <w:sz w:val="24"/>
        </w:rPr>
        <w:t xml:space="preserve">Additional background on the shift to a </w:t>
      </w:r>
      <w:proofErr w:type="gramStart"/>
      <w:r w:rsidR="008E6F0B">
        <w:rPr>
          <w:rFonts w:eastAsia="Times New Roman" w:cs="Arial"/>
          <w:sz w:val="24"/>
        </w:rPr>
        <w:t>combined monthly</w:t>
      </w:r>
      <w:r w:rsidRPr="003F06E6">
        <w:rPr>
          <w:rFonts w:eastAsia="Times New Roman" w:cs="Arial"/>
          <w:sz w:val="24"/>
        </w:rPr>
        <w:t xml:space="preserve"> sales</w:t>
      </w:r>
      <w:proofErr w:type="gramEnd"/>
      <w:r w:rsidRPr="003F06E6">
        <w:rPr>
          <w:rFonts w:eastAsia="Times New Roman" w:cs="Arial"/>
          <w:sz w:val="24"/>
        </w:rPr>
        <w:t xml:space="preserve"> and use tax return are below. </w:t>
      </w:r>
    </w:p>
    <w:p w:rsidR="003F06E6" w:rsidRPr="003F06E6" w:rsidRDefault="003F06E6" w:rsidP="003F06E6">
      <w:pPr>
        <w:ind w:firstLine="0"/>
        <w:rPr>
          <w:rFonts w:eastAsia="Times New Roman" w:cs="Arial"/>
          <w:sz w:val="24"/>
        </w:rPr>
      </w:pPr>
    </w:p>
    <w:p w:rsidR="00B15EC3" w:rsidRPr="003F06E6" w:rsidRDefault="00ED6B81" w:rsidP="00FF3D30">
      <w:pPr>
        <w:shd w:val="clear" w:color="auto" w:fill="FFFFFF"/>
        <w:ind w:firstLine="0"/>
        <w:rPr>
          <w:rFonts w:eastAsia="Times New Roman" w:cs="Arial"/>
          <w:sz w:val="24"/>
        </w:rPr>
      </w:pPr>
      <w:r w:rsidRPr="003F06E6">
        <w:rPr>
          <w:rFonts w:eastAsia="Times New Roman" w:cs="Arial"/>
          <w:sz w:val="24"/>
        </w:rPr>
        <w:t xml:space="preserve">This bill also includes </w:t>
      </w:r>
      <w:r w:rsidR="00B15EC3" w:rsidRPr="003F06E6">
        <w:rPr>
          <w:rFonts w:eastAsia="Times New Roman" w:cs="Arial"/>
          <w:sz w:val="24"/>
        </w:rPr>
        <w:t>the</w:t>
      </w:r>
      <w:r w:rsidR="003F06E6">
        <w:rPr>
          <w:rFonts w:eastAsia="Times New Roman" w:cs="Arial"/>
          <w:sz w:val="24"/>
        </w:rPr>
        <w:t>se</w:t>
      </w:r>
      <w:r w:rsidR="00B15EC3" w:rsidRPr="003F06E6">
        <w:rPr>
          <w:rFonts w:eastAsia="Times New Roman" w:cs="Arial"/>
          <w:sz w:val="24"/>
        </w:rPr>
        <w:t xml:space="preserve"> </w:t>
      </w:r>
      <w:r w:rsidRPr="003F06E6">
        <w:rPr>
          <w:rFonts w:eastAsia="Times New Roman" w:cs="Arial"/>
          <w:sz w:val="24"/>
        </w:rPr>
        <w:t>additional administrative changes</w:t>
      </w:r>
      <w:r w:rsidR="00B15EC3" w:rsidRPr="003F06E6">
        <w:rPr>
          <w:rFonts w:eastAsia="Times New Roman" w:cs="Arial"/>
          <w:sz w:val="24"/>
        </w:rPr>
        <w:t>:</w:t>
      </w:r>
      <w:r w:rsidRPr="003F06E6">
        <w:rPr>
          <w:rFonts w:eastAsia="Times New Roman" w:cs="Arial"/>
          <w:sz w:val="24"/>
        </w:rPr>
        <w:t xml:space="preserve"> </w:t>
      </w:r>
    </w:p>
    <w:p w:rsidR="00B15EC3" w:rsidRPr="003F06E6" w:rsidRDefault="00ED6B81" w:rsidP="00B15EC3">
      <w:pPr>
        <w:pStyle w:val="ListParagraph"/>
        <w:numPr>
          <w:ilvl w:val="0"/>
          <w:numId w:val="4"/>
        </w:numPr>
        <w:shd w:val="clear" w:color="auto" w:fill="FFFFFF"/>
        <w:rPr>
          <w:rFonts w:eastAsia="Times New Roman" w:cs="Arial"/>
          <w:sz w:val="24"/>
        </w:rPr>
      </w:pPr>
      <w:r w:rsidRPr="003F06E6">
        <w:rPr>
          <w:rFonts w:eastAsia="Times New Roman" w:cs="Arial"/>
          <w:sz w:val="24"/>
        </w:rPr>
        <w:t>It creates the p</w:t>
      </w:r>
      <w:r w:rsidR="00510105" w:rsidRPr="003F06E6">
        <w:rPr>
          <w:rFonts w:eastAsia="Times New Roman" w:cs="Arial"/>
          <w:sz w:val="24"/>
        </w:rPr>
        <w:t>ermanent authority to cancel fuel, sales, and withholding permits no longer in use</w:t>
      </w:r>
      <w:r w:rsidRPr="003F06E6">
        <w:rPr>
          <w:rFonts w:eastAsia="Times New Roman" w:cs="Arial"/>
          <w:sz w:val="24"/>
        </w:rPr>
        <w:t xml:space="preserve">, similar to language enacted in 2021 Senate File 608 which provided temporary authority. </w:t>
      </w:r>
    </w:p>
    <w:p w:rsidR="00B15EC3" w:rsidRPr="003F06E6" w:rsidRDefault="00ED6B81" w:rsidP="00B15EC3">
      <w:pPr>
        <w:pStyle w:val="ListParagraph"/>
        <w:numPr>
          <w:ilvl w:val="0"/>
          <w:numId w:val="4"/>
        </w:numPr>
        <w:shd w:val="clear" w:color="auto" w:fill="FFFFFF"/>
        <w:rPr>
          <w:rFonts w:eastAsia="Times New Roman" w:cs="Arial"/>
          <w:sz w:val="24"/>
        </w:rPr>
      </w:pPr>
      <w:r w:rsidRPr="003F06E6">
        <w:rPr>
          <w:rFonts w:eastAsia="Times New Roman" w:cs="Arial"/>
          <w:sz w:val="24"/>
        </w:rPr>
        <w:t>The bill updates</w:t>
      </w:r>
      <w:r w:rsidR="00510105" w:rsidRPr="003F06E6">
        <w:rPr>
          <w:rFonts w:eastAsia="Times New Roman" w:cs="Arial"/>
          <w:sz w:val="24"/>
        </w:rPr>
        <w:t xml:space="preserve"> statutory "temporary" permit language to seasonal to reflect current practice</w:t>
      </w:r>
      <w:r w:rsidRPr="003F06E6">
        <w:rPr>
          <w:rFonts w:eastAsia="Times New Roman" w:cs="Arial"/>
          <w:sz w:val="24"/>
        </w:rPr>
        <w:t xml:space="preserve">. </w:t>
      </w:r>
    </w:p>
    <w:p w:rsidR="00B15EC3" w:rsidRPr="003F06E6" w:rsidRDefault="00ED6B81" w:rsidP="00B15EC3">
      <w:pPr>
        <w:pStyle w:val="ListParagraph"/>
        <w:numPr>
          <w:ilvl w:val="0"/>
          <w:numId w:val="4"/>
        </w:numPr>
        <w:shd w:val="clear" w:color="auto" w:fill="FFFFFF"/>
        <w:rPr>
          <w:rFonts w:eastAsia="Times New Roman" w:cs="Arial"/>
          <w:sz w:val="24"/>
        </w:rPr>
      </w:pPr>
      <w:r w:rsidRPr="003F06E6">
        <w:rPr>
          <w:rFonts w:eastAsia="Times New Roman" w:cs="Arial"/>
          <w:sz w:val="24"/>
        </w:rPr>
        <w:t xml:space="preserve">The bill adjusts the Department’s ability to notify “certified service providers” and sellers registered under the Streamlined Sales and Use Tax Agreement simultaneously if a payment or filing issue occurs. </w:t>
      </w:r>
    </w:p>
    <w:p w:rsidR="00B15EC3" w:rsidRPr="003F06E6" w:rsidRDefault="00ED6B81" w:rsidP="00B15EC3">
      <w:pPr>
        <w:pStyle w:val="ListParagraph"/>
        <w:numPr>
          <w:ilvl w:val="0"/>
          <w:numId w:val="4"/>
        </w:numPr>
        <w:shd w:val="clear" w:color="auto" w:fill="FFFFFF"/>
        <w:rPr>
          <w:rFonts w:eastAsia="Times New Roman" w:cs="Arial"/>
          <w:sz w:val="24"/>
        </w:rPr>
      </w:pPr>
      <w:r w:rsidRPr="003F06E6">
        <w:rPr>
          <w:rFonts w:eastAsia="Times New Roman" w:cs="Arial"/>
          <w:sz w:val="24"/>
        </w:rPr>
        <w:t>The bill creates a $100 p</w:t>
      </w:r>
      <w:r w:rsidR="00510105" w:rsidRPr="003F06E6">
        <w:rPr>
          <w:rFonts w:eastAsia="Times New Roman" w:cs="Arial"/>
          <w:sz w:val="24"/>
        </w:rPr>
        <w:t xml:space="preserve">enalty for failure to file </w:t>
      </w:r>
      <w:r w:rsidR="003F06E6">
        <w:rPr>
          <w:rFonts w:eastAsia="Times New Roman" w:cs="Arial"/>
          <w:sz w:val="24"/>
        </w:rPr>
        <w:t xml:space="preserve">the </w:t>
      </w:r>
      <w:r w:rsidR="00510105" w:rsidRPr="003F06E6">
        <w:rPr>
          <w:rFonts w:eastAsia="Times New Roman" w:cs="Arial"/>
          <w:sz w:val="24"/>
        </w:rPr>
        <w:t>retailer’s annual report for motor fuel</w:t>
      </w:r>
      <w:r w:rsidR="003F06E6">
        <w:rPr>
          <w:rFonts w:eastAsia="Times New Roman" w:cs="Arial"/>
          <w:sz w:val="24"/>
        </w:rPr>
        <w:t xml:space="preserve">. A $100 penalty </w:t>
      </w:r>
      <w:r w:rsidRPr="003F06E6">
        <w:rPr>
          <w:rFonts w:eastAsia="Times New Roman" w:cs="Arial"/>
          <w:sz w:val="24"/>
        </w:rPr>
        <w:t>is identical to other late-filing penalties for motor fuel</w:t>
      </w:r>
      <w:r w:rsidR="00FF3D30" w:rsidRPr="003F06E6">
        <w:rPr>
          <w:rFonts w:eastAsia="Times New Roman" w:cs="Arial"/>
          <w:sz w:val="24"/>
        </w:rPr>
        <w:t xml:space="preserve">. The retailer’s annual report is used to calculate tax rates for various fuel types each year. </w:t>
      </w:r>
    </w:p>
    <w:p w:rsidR="00B15EC3" w:rsidRPr="003F06E6" w:rsidRDefault="00FF3D30" w:rsidP="00B15EC3">
      <w:pPr>
        <w:pStyle w:val="ListParagraph"/>
        <w:numPr>
          <w:ilvl w:val="0"/>
          <w:numId w:val="4"/>
        </w:numPr>
        <w:shd w:val="clear" w:color="auto" w:fill="FFFFFF"/>
        <w:rPr>
          <w:rFonts w:eastAsia="Times New Roman" w:cs="Arial"/>
          <w:sz w:val="24"/>
        </w:rPr>
      </w:pPr>
      <w:r w:rsidRPr="003F06E6">
        <w:rPr>
          <w:rFonts w:eastAsia="Times New Roman" w:cs="Arial"/>
          <w:sz w:val="24"/>
        </w:rPr>
        <w:lastRenderedPageBreak/>
        <w:t xml:space="preserve">The bill replaces the term </w:t>
      </w:r>
      <w:r w:rsidR="00510105" w:rsidRPr="003F06E6">
        <w:rPr>
          <w:rFonts w:eastAsia="Times New Roman" w:cs="Arial"/>
          <w:sz w:val="24"/>
        </w:rPr>
        <w:t xml:space="preserve">“license” </w:t>
      </w:r>
      <w:r w:rsidRPr="003F06E6">
        <w:rPr>
          <w:rFonts w:eastAsia="Times New Roman" w:cs="Arial"/>
          <w:sz w:val="24"/>
        </w:rPr>
        <w:t>with</w:t>
      </w:r>
      <w:r w:rsidR="00510105" w:rsidRPr="003F06E6">
        <w:rPr>
          <w:rFonts w:eastAsia="Times New Roman" w:cs="Arial"/>
          <w:sz w:val="24"/>
        </w:rPr>
        <w:t xml:space="preserve"> “permit” </w:t>
      </w:r>
      <w:r w:rsidRPr="003F06E6">
        <w:rPr>
          <w:rFonts w:eastAsia="Times New Roman" w:cs="Arial"/>
          <w:sz w:val="24"/>
        </w:rPr>
        <w:t xml:space="preserve">throughout the motor fuel tax chapter. </w:t>
      </w:r>
    </w:p>
    <w:p w:rsidR="00510105" w:rsidRPr="003F06E6" w:rsidRDefault="00FF3D30" w:rsidP="00B15EC3">
      <w:pPr>
        <w:pStyle w:val="ListParagraph"/>
        <w:numPr>
          <w:ilvl w:val="0"/>
          <w:numId w:val="4"/>
        </w:numPr>
        <w:shd w:val="clear" w:color="auto" w:fill="FFFFFF"/>
        <w:rPr>
          <w:rFonts w:eastAsia="Times New Roman" w:cs="Arial"/>
          <w:sz w:val="24"/>
        </w:rPr>
      </w:pPr>
      <w:r w:rsidRPr="003F06E6">
        <w:rPr>
          <w:rFonts w:eastAsia="Times New Roman" w:cs="Arial"/>
          <w:sz w:val="24"/>
        </w:rPr>
        <w:t xml:space="preserve">Lastly, the bill clarifies the “project completion” deadline for businesses seeking to apply for a sales tax refund </w:t>
      </w:r>
      <w:r w:rsidR="00B15EC3" w:rsidRPr="003F06E6">
        <w:rPr>
          <w:rFonts w:eastAsia="Times New Roman" w:cs="Arial"/>
          <w:sz w:val="24"/>
        </w:rPr>
        <w:t xml:space="preserve">through the </w:t>
      </w:r>
      <w:proofErr w:type="gramStart"/>
      <w:r w:rsidR="00B15EC3" w:rsidRPr="003F06E6">
        <w:rPr>
          <w:rFonts w:eastAsia="Times New Roman" w:cs="Arial"/>
          <w:sz w:val="24"/>
        </w:rPr>
        <w:t>High Quality</w:t>
      </w:r>
      <w:proofErr w:type="gramEnd"/>
      <w:r w:rsidR="00B15EC3" w:rsidRPr="003F06E6">
        <w:rPr>
          <w:rFonts w:eastAsia="Times New Roman" w:cs="Arial"/>
          <w:sz w:val="24"/>
        </w:rPr>
        <w:t xml:space="preserve"> Jobs Program. The Department worked with the Economic Development Authority to improve the existing provision. </w:t>
      </w:r>
    </w:p>
    <w:p w:rsidR="003F06E6" w:rsidRPr="00B4561C" w:rsidRDefault="003F06E6" w:rsidP="00510105">
      <w:pPr>
        <w:ind w:firstLine="0"/>
        <w:rPr>
          <w:rFonts w:eastAsia="Times New Roman" w:cs="Arial"/>
          <w:sz w:val="24"/>
        </w:rPr>
      </w:pPr>
    </w:p>
    <w:p w:rsidR="00B4561C" w:rsidRPr="00B4561C" w:rsidRDefault="00B4561C" w:rsidP="00B4561C">
      <w:pPr>
        <w:ind w:firstLine="0"/>
        <w:outlineLvl w:val="1"/>
        <w:rPr>
          <w:rFonts w:eastAsia="Times New Roman" w:cs="Arial"/>
          <w:b/>
          <w:bCs/>
          <w:sz w:val="24"/>
        </w:rPr>
      </w:pPr>
      <w:r w:rsidRPr="00B4561C">
        <w:rPr>
          <w:rFonts w:eastAsia="Times New Roman" w:cs="Arial"/>
          <w:b/>
          <w:bCs/>
          <w:sz w:val="24"/>
        </w:rPr>
        <w:t>Combined Sales and Use Tax Return</w:t>
      </w:r>
    </w:p>
    <w:p w:rsidR="00B4561C" w:rsidRPr="00B4561C" w:rsidRDefault="00B4561C" w:rsidP="00B4561C">
      <w:pPr>
        <w:ind w:firstLine="0"/>
        <w:rPr>
          <w:rFonts w:eastAsia="Times New Roman" w:cs="Arial"/>
          <w:sz w:val="24"/>
        </w:rPr>
      </w:pPr>
    </w:p>
    <w:p w:rsidR="00B4561C" w:rsidRPr="00B4561C" w:rsidRDefault="00042B82" w:rsidP="00B4561C">
      <w:pPr>
        <w:ind w:firstLine="0"/>
        <w:rPr>
          <w:rFonts w:ascii="Times New Roman" w:eastAsia="Times New Roman" w:hAnsi="Times New Roman"/>
          <w:sz w:val="24"/>
        </w:rPr>
      </w:pPr>
      <w:r w:rsidRPr="003F06E6">
        <w:rPr>
          <w:rFonts w:eastAsia="Times New Roman" w:cs="Arial"/>
          <w:sz w:val="24"/>
        </w:rPr>
        <w:t xml:space="preserve">Today, a business </w:t>
      </w:r>
      <w:r w:rsidR="003F06E6" w:rsidRPr="003F06E6">
        <w:rPr>
          <w:rFonts w:eastAsia="Times New Roman" w:cs="Arial"/>
          <w:sz w:val="24"/>
        </w:rPr>
        <w:t xml:space="preserve">may need to obtain a separate permit </w:t>
      </w:r>
      <w:r w:rsidR="008E6F0B">
        <w:rPr>
          <w:rFonts w:eastAsia="Times New Roman" w:cs="Arial"/>
          <w:sz w:val="24"/>
        </w:rPr>
        <w:t xml:space="preserve">and file separate returns </w:t>
      </w:r>
      <w:r w:rsidR="003F06E6" w:rsidRPr="003F06E6">
        <w:rPr>
          <w:rFonts w:eastAsia="Times New Roman" w:cs="Arial"/>
          <w:sz w:val="24"/>
        </w:rPr>
        <w:t xml:space="preserve">for sales tax, retailer’s use tax, and consumer’s use tax. </w:t>
      </w:r>
      <w:r w:rsidR="00B4561C" w:rsidRPr="00B4561C">
        <w:rPr>
          <w:rFonts w:eastAsia="Times New Roman" w:cs="Arial"/>
          <w:sz w:val="24"/>
        </w:rPr>
        <w:t xml:space="preserve">Retailer’s use tax is a voluntary collection and remittance by sellers who make sales on goods and services they know will be used in Iowa. Because of changes to the law effective 2019, most taxpayers that previously collected retailer’s use tax are now required to collect sales tax. Consumer’s use tax is typically owed by taxpayers for tangible personal property or services they acquire without paying the sales tax and which they “consume” during the course of their business. The Department has historically advised taxpayers that if they “regularly” make purchases subject to use tax, they should obtain a consumer’s use tax permit and file a consumer’s use tax return. The Department has also instructed taxpayers </w:t>
      </w:r>
      <w:r w:rsidR="008E6F0B">
        <w:rPr>
          <w:rFonts w:eastAsia="Times New Roman" w:cs="Arial"/>
          <w:sz w:val="24"/>
        </w:rPr>
        <w:t>who</w:t>
      </w:r>
      <w:r w:rsidR="00B4561C" w:rsidRPr="00B4561C">
        <w:rPr>
          <w:rFonts w:eastAsia="Times New Roman" w:cs="Arial"/>
          <w:sz w:val="24"/>
        </w:rPr>
        <w:t xml:space="preserve"> only occasionally incur use tax to report such purchases on the Goods Consumed line of today’s sales tax return, which leads to confusion for taxpayers and Department staff alike. </w:t>
      </w:r>
    </w:p>
    <w:p w:rsidR="00B4561C" w:rsidRPr="00B4561C" w:rsidRDefault="00B4561C" w:rsidP="00B4561C">
      <w:pPr>
        <w:ind w:firstLine="0"/>
        <w:rPr>
          <w:rFonts w:ascii="Times New Roman" w:eastAsia="Times New Roman" w:hAnsi="Times New Roman"/>
          <w:sz w:val="24"/>
        </w:rPr>
      </w:pPr>
    </w:p>
    <w:p w:rsidR="00B4561C" w:rsidRPr="00B4561C" w:rsidRDefault="008B5C3A" w:rsidP="00B4561C">
      <w:pPr>
        <w:ind w:firstLine="0"/>
        <w:rPr>
          <w:rFonts w:ascii="Times New Roman" w:eastAsia="Times New Roman" w:hAnsi="Times New Roman"/>
          <w:sz w:val="24"/>
        </w:rPr>
      </w:pPr>
      <w:r w:rsidRPr="003F06E6">
        <w:rPr>
          <w:rFonts w:eastAsia="Times New Roman" w:cs="Arial"/>
          <w:sz w:val="24"/>
        </w:rPr>
        <w:t>S</w:t>
      </w:r>
      <w:r w:rsidR="00B4561C" w:rsidRPr="00B4561C">
        <w:rPr>
          <w:rFonts w:eastAsia="Times New Roman" w:cs="Arial"/>
          <w:sz w:val="24"/>
        </w:rPr>
        <w:t>tarting July 1, 2022</w:t>
      </w:r>
      <w:r w:rsidRPr="003F06E6">
        <w:rPr>
          <w:rFonts w:eastAsia="Times New Roman" w:cs="Arial"/>
          <w:sz w:val="24"/>
        </w:rPr>
        <w:t xml:space="preserve">, </w:t>
      </w:r>
      <w:r w:rsidR="003F06E6" w:rsidRPr="003F06E6">
        <w:rPr>
          <w:rFonts w:eastAsia="Times New Roman" w:cs="Arial"/>
          <w:sz w:val="24"/>
        </w:rPr>
        <w:t>the Department will allow businesses to register for one permit to cover all of these tax types. Taxpayers will be able to report all tax due for each of these tax types</w:t>
      </w:r>
      <w:r w:rsidR="00B4561C" w:rsidRPr="00B4561C">
        <w:rPr>
          <w:rFonts w:eastAsia="Times New Roman" w:cs="Arial"/>
          <w:sz w:val="24"/>
        </w:rPr>
        <w:t xml:space="preserve"> </w:t>
      </w:r>
      <w:r w:rsidR="003F06E6" w:rsidRPr="003F06E6">
        <w:rPr>
          <w:rFonts w:eastAsia="Times New Roman" w:cs="Arial"/>
          <w:sz w:val="24"/>
        </w:rPr>
        <w:t xml:space="preserve">on the same return. </w:t>
      </w:r>
      <w:r w:rsidR="00B4561C" w:rsidRPr="00B4561C">
        <w:rPr>
          <w:rFonts w:eastAsia="Times New Roman" w:cs="Arial"/>
          <w:sz w:val="24"/>
        </w:rPr>
        <w:t>Putting sales tax and use tax on the same return will likely improve the accuracy of reporting by taxpayers of these distinct tax types.</w:t>
      </w:r>
    </w:p>
    <w:p w:rsidR="00B4561C" w:rsidRPr="00B4561C" w:rsidRDefault="00B4561C" w:rsidP="00B4561C">
      <w:pPr>
        <w:ind w:firstLine="0"/>
        <w:rPr>
          <w:rFonts w:ascii="Times New Roman" w:eastAsia="Times New Roman" w:hAnsi="Times New Roman"/>
          <w:sz w:val="24"/>
        </w:rPr>
      </w:pPr>
    </w:p>
    <w:p w:rsidR="00B4561C" w:rsidRPr="00B4561C" w:rsidRDefault="00B4561C" w:rsidP="00B4561C">
      <w:pPr>
        <w:ind w:firstLine="0"/>
        <w:outlineLvl w:val="1"/>
        <w:rPr>
          <w:rFonts w:ascii="Times New Roman" w:eastAsia="Times New Roman" w:hAnsi="Times New Roman"/>
          <w:b/>
          <w:bCs/>
          <w:sz w:val="24"/>
        </w:rPr>
      </w:pPr>
      <w:r w:rsidRPr="00B4561C">
        <w:rPr>
          <w:rFonts w:eastAsia="Times New Roman" w:cs="Arial"/>
          <w:b/>
          <w:bCs/>
          <w:sz w:val="24"/>
        </w:rPr>
        <w:t>Return Filing, Payment Frequency, and Electronic Filing</w:t>
      </w:r>
    </w:p>
    <w:p w:rsidR="00B4561C" w:rsidRPr="00B4561C" w:rsidRDefault="00B4561C" w:rsidP="00B4561C">
      <w:pPr>
        <w:ind w:firstLine="0"/>
        <w:rPr>
          <w:rFonts w:ascii="Times New Roman" w:eastAsia="Times New Roman" w:hAnsi="Times New Roman"/>
          <w:sz w:val="24"/>
        </w:rPr>
      </w:pPr>
    </w:p>
    <w:p w:rsidR="00B4561C" w:rsidRPr="00B4561C" w:rsidRDefault="00B4561C" w:rsidP="00B4561C">
      <w:pPr>
        <w:ind w:firstLine="0"/>
        <w:rPr>
          <w:rFonts w:ascii="Times New Roman" w:eastAsia="Times New Roman" w:hAnsi="Times New Roman"/>
          <w:sz w:val="24"/>
        </w:rPr>
      </w:pPr>
      <w:r w:rsidRPr="00B4561C">
        <w:rPr>
          <w:rFonts w:eastAsia="Times New Roman" w:cs="Arial"/>
          <w:sz w:val="24"/>
        </w:rPr>
        <w:t xml:space="preserve">Today, most sales tax permit holders file returns </w:t>
      </w:r>
      <w:r w:rsidR="008E6F0B">
        <w:rPr>
          <w:rFonts w:eastAsia="Times New Roman" w:cs="Arial"/>
          <w:sz w:val="24"/>
        </w:rPr>
        <w:t>once per calendar</w:t>
      </w:r>
      <w:r w:rsidRPr="00B4561C">
        <w:rPr>
          <w:rFonts w:eastAsia="Times New Roman" w:cs="Arial"/>
          <w:sz w:val="24"/>
        </w:rPr>
        <w:t xml:space="preserve"> quarter. In addition, the Department requires taxpayers to remit taxes on a frequency based on how much money they collect, as prescribed by administrative rule. Payments may be required on a quarterly, monthly, or semimonthly basis. Taxpayers remitting collected tax more frequently than they file returns are allowed to remit either actual tax collected or one of two options for estimated payment based on prior collections. Taxpayers that collect less than $120 of sales tax per calendar year are only required to file a return and remit tax annually.</w:t>
      </w:r>
    </w:p>
    <w:p w:rsidR="00B4561C" w:rsidRPr="00B4561C" w:rsidRDefault="00B4561C" w:rsidP="00B4561C">
      <w:pPr>
        <w:ind w:firstLine="0"/>
        <w:rPr>
          <w:rFonts w:ascii="Times New Roman" w:eastAsia="Times New Roman" w:hAnsi="Times New Roman"/>
          <w:sz w:val="24"/>
        </w:rPr>
      </w:pPr>
    </w:p>
    <w:p w:rsidR="00B4561C" w:rsidRPr="00B4561C" w:rsidRDefault="00B4561C" w:rsidP="00B4561C">
      <w:pPr>
        <w:ind w:firstLine="0"/>
        <w:rPr>
          <w:rFonts w:ascii="Times New Roman" w:eastAsia="Times New Roman" w:hAnsi="Times New Roman"/>
          <w:sz w:val="24"/>
        </w:rPr>
      </w:pPr>
      <w:r w:rsidRPr="00B4561C">
        <w:rPr>
          <w:rFonts w:eastAsia="Times New Roman" w:cs="Arial"/>
          <w:sz w:val="24"/>
        </w:rPr>
        <w:t>Challenges with the current process include the following:</w:t>
      </w:r>
    </w:p>
    <w:p w:rsidR="00B4561C" w:rsidRPr="00B4561C" w:rsidRDefault="00B4561C" w:rsidP="00B4561C">
      <w:pPr>
        <w:numPr>
          <w:ilvl w:val="0"/>
          <w:numId w:val="3"/>
        </w:numPr>
        <w:textAlignment w:val="baseline"/>
        <w:rPr>
          <w:rFonts w:eastAsia="Times New Roman" w:cs="Arial"/>
          <w:sz w:val="24"/>
        </w:rPr>
      </w:pPr>
      <w:r w:rsidRPr="00B4561C">
        <w:rPr>
          <w:rFonts w:eastAsia="Times New Roman" w:cs="Arial"/>
          <w:sz w:val="24"/>
        </w:rPr>
        <w:t>Taxpayers that fail to make semimonthly or monthly payment deposits are assumed to have zero liability, which rewards non-filing. </w:t>
      </w:r>
    </w:p>
    <w:p w:rsidR="00B4561C" w:rsidRPr="00B4561C" w:rsidRDefault="00B4561C" w:rsidP="00B4561C">
      <w:pPr>
        <w:numPr>
          <w:ilvl w:val="0"/>
          <w:numId w:val="3"/>
        </w:numPr>
        <w:textAlignment w:val="baseline"/>
        <w:rPr>
          <w:rFonts w:eastAsia="Times New Roman" w:cs="Arial"/>
          <w:sz w:val="24"/>
        </w:rPr>
      </w:pPr>
      <w:r w:rsidRPr="00B4561C">
        <w:rPr>
          <w:rFonts w:eastAsia="Times New Roman" w:cs="Arial"/>
          <w:sz w:val="24"/>
        </w:rPr>
        <w:t xml:space="preserve">Taxpayers do not have the ability to correct the tax </w:t>
      </w:r>
      <w:r w:rsidR="008E6F0B">
        <w:rPr>
          <w:rFonts w:eastAsia="Times New Roman" w:cs="Arial"/>
          <w:sz w:val="24"/>
        </w:rPr>
        <w:t xml:space="preserve">remitted </w:t>
      </w:r>
      <w:r w:rsidRPr="00B4561C">
        <w:rPr>
          <w:rFonts w:eastAsia="Times New Roman" w:cs="Arial"/>
          <w:sz w:val="24"/>
        </w:rPr>
        <w:t>on a payment deposit resulting in overpaid or underpaid penalty and interest.</w:t>
      </w:r>
    </w:p>
    <w:p w:rsidR="00B4561C" w:rsidRPr="00B4561C" w:rsidRDefault="00B4561C" w:rsidP="00B4561C">
      <w:pPr>
        <w:numPr>
          <w:ilvl w:val="0"/>
          <w:numId w:val="3"/>
        </w:numPr>
        <w:textAlignment w:val="baseline"/>
        <w:rPr>
          <w:rFonts w:eastAsia="Times New Roman" w:cs="Arial"/>
          <w:sz w:val="24"/>
        </w:rPr>
      </w:pPr>
      <w:r w:rsidRPr="00B4561C">
        <w:rPr>
          <w:rFonts w:eastAsia="Times New Roman" w:cs="Arial"/>
          <w:sz w:val="24"/>
        </w:rPr>
        <w:lastRenderedPageBreak/>
        <w:t>Only state sales tax and local option sales tax are required to be paid on the monthly or semimonthly deposit, which is confusing for taxpayers with other excise tax (for example, hotel and motel or water service) obligations. </w:t>
      </w:r>
    </w:p>
    <w:p w:rsidR="00B4561C" w:rsidRPr="00B4561C" w:rsidRDefault="00B4561C" w:rsidP="00B4561C">
      <w:pPr>
        <w:numPr>
          <w:ilvl w:val="0"/>
          <w:numId w:val="3"/>
        </w:numPr>
        <w:textAlignment w:val="baseline"/>
        <w:rPr>
          <w:rFonts w:eastAsia="Times New Roman" w:cs="Arial"/>
          <w:sz w:val="24"/>
        </w:rPr>
      </w:pPr>
      <w:r w:rsidRPr="00B4561C">
        <w:rPr>
          <w:rFonts w:eastAsia="Times New Roman" w:cs="Arial"/>
          <w:sz w:val="24"/>
        </w:rPr>
        <w:t>Billings, refunds, and assessments are all deferred until the quarterly return.</w:t>
      </w:r>
    </w:p>
    <w:p w:rsidR="00B4561C" w:rsidRPr="00B4561C" w:rsidRDefault="00B4561C" w:rsidP="00B4561C">
      <w:pPr>
        <w:numPr>
          <w:ilvl w:val="0"/>
          <w:numId w:val="3"/>
        </w:numPr>
        <w:textAlignment w:val="baseline"/>
        <w:rPr>
          <w:rFonts w:eastAsia="Times New Roman" w:cs="Arial"/>
          <w:sz w:val="24"/>
        </w:rPr>
      </w:pPr>
      <w:r w:rsidRPr="00B4561C">
        <w:rPr>
          <w:rFonts w:eastAsia="Times New Roman" w:cs="Arial"/>
          <w:sz w:val="24"/>
        </w:rPr>
        <w:t>Some taxpayers confuse monthly and semimonthly payments with filing returns, resulting in only reporting month three tax on the quarterly return. </w:t>
      </w:r>
    </w:p>
    <w:p w:rsidR="00B4561C" w:rsidRPr="00B4561C" w:rsidRDefault="00B4561C" w:rsidP="00B4561C">
      <w:pPr>
        <w:numPr>
          <w:ilvl w:val="0"/>
          <w:numId w:val="3"/>
        </w:numPr>
        <w:textAlignment w:val="baseline"/>
        <w:rPr>
          <w:rFonts w:eastAsia="Times New Roman" w:cs="Arial"/>
          <w:sz w:val="24"/>
        </w:rPr>
      </w:pPr>
      <w:r w:rsidRPr="00B4561C">
        <w:rPr>
          <w:rFonts w:eastAsia="Times New Roman" w:cs="Arial"/>
          <w:sz w:val="24"/>
        </w:rPr>
        <w:t>Underpaid deposits are not billed the correct penalty and interest.</w:t>
      </w:r>
    </w:p>
    <w:p w:rsidR="00B4561C" w:rsidRPr="00B4561C" w:rsidRDefault="00B4561C" w:rsidP="00B4561C">
      <w:pPr>
        <w:numPr>
          <w:ilvl w:val="0"/>
          <w:numId w:val="3"/>
        </w:numPr>
        <w:textAlignment w:val="baseline"/>
        <w:rPr>
          <w:rFonts w:eastAsia="Times New Roman" w:cs="Arial"/>
          <w:sz w:val="24"/>
        </w:rPr>
      </w:pPr>
      <w:r w:rsidRPr="00B4561C">
        <w:rPr>
          <w:rFonts w:eastAsia="Times New Roman" w:cs="Arial"/>
          <w:sz w:val="24"/>
        </w:rPr>
        <w:t>Interest on a late payment from a semimonthly filer is under-assessed.</w:t>
      </w:r>
    </w:p>
    <w:p w:rsidR="00B4561C" w:rsidRPr="00B4561C" w:rsidRDefault="00B4561C" w:rsidP="00B4561C">
      <w:pPr>
        <w:ind w:firstLine="0"/>
        <w:rPr>
          <w:rFonts w:ascii="Times New Roman" w:eastAsia="Times New Roman" w:hAnsi="Times New Roman"/>
          <w:sz w:val="24"/>
        </w:rPr>
      </w:pPr>
    </w:p>
    <w:p w:rsidR="00B4561C" w:rsidRPr="00B4561C" w:rsidRDefault="00B4561C" w:rsidP="00B4561C">
      <w:pPr>
        <w:ind w:firstLine="0"/>
        <w:rPr>
          <w:rFonts w:ascii="Times New Roman" w:eastAsia="Times New Roman" w:hAnsi="Times New Roman"/>
          <w:sz w:val="24"/>
        </w:rPr>
      </w:pPr>
      <w:r w:rsidRPr="00B4561C">
        <w:rPr>
          <w:rFonts w:eastAsia="Times New Roman" w:cs="Arial"/>
          <w:sz w:val="24"/>
        </w:rPr>
        <w:t>Requiring monthly returns will resolve the current challenges of administering a system of misaligned return filings and payments. Eliminating the semimonthly remittance will put all taxpayers (except annual filers) on the same schedule for filing returns and making payments. This change will ensure taxpayers remit actual sales taxes collected, which is required for income tax withholding and is common in other states. Requiring actual taxes collected to be paid and reported on a monthly basis will greatly simplify the assessment and calculation of penalty and interest for late or non-filed returns or payments. </w:t>
      </w:r>
    </w:p>
    <w:p w:rsidR="00B4561C" w:rsidRPr="00B4561C" w:rsidRDefault="00B4561C" w:rsidP="00B4561C">
      <w:pPr>
        <w:ind w:firstLine="0"/>
        <w:rPr>
          <w:rFonts w:ascii="Times New Roman" w:eastAsia="Times New Roman" w:hAnsi="Times New Roman"/>
          <w:sz w:val="24"/>
        </w:rPr>
      </w:pPr>
    </w:p>
    <w:p w:rsidR="007C2AE7" w:rsidRDefault="00B4561C" w:rsidP="003F06E6">
      <w:pPr>
        <w:ind w:firstLine="0"/>
        <w:rPr>
          <w:rFonts w:eastAsia="Times New Roman" w:cs="Arial"/>
          <w:sz w:val="24"/>
        </w:rPr>
      </w:pPr>
      <w:r w:rsidRPr="00B4561C">
        <w:rPr>
          <w:rFonts w:eastAsia="Times New Roman" w:cs="Arial"/>
          <w:sz w:val="24"/>
        </w:rPr>
        <w:t xml:space="preserve">The Department </w:t>
      </w:r>
      <w:r w:rsidRPr="003F06E6">
        <w:rPr>
          <w:rFonts w:eastAsia="Times New Roman" w:cs="Arial"/>
          <w:sz w:val="24"/>
        </w:rPr>
        <w:t>proposes to raise</w:t>
      </w:r>
      <w:r w:rsidRPr="00B4561C">
        <w:rPr>
          <w:rFonts w:eastAsia="Times New Roman" w:cs="Arial"/>
          <w:sz w:val="24"/>
        </w:rPr>
        <w:t xml:space="preserve"> the threshold for determining whether a taxpayer only needs to file an annual return. As noted above, that threshold is currently $120 of tax collected per year. To mitigate the burden on truly small businesses of more frequent filing and remittance frequency, the Department </w:t>
      </w:r>
      <w:r w:rsidR="003F06E6">
        <w:rPr>
          <w:rFonts w:eastAsia="Times New Roman" w:cs="Arial"/>
          <w:sz w:val="24"/>
        </w:rPr>
        <w:t>proposes to raise this threshold to $1,200 of tax collected per year</w:t>
      </w:r>
      <w:r w:rsidRPr="00B4561C">
        <w:rPr>
          <w:rFonts w:eastAsia="Times New Roman" w:cs="Arial"/>
          <w:sz w:val="24"/>
        </w:rPr>
        <w:t xml:space="preserve">. </w:t>
      </w:r>
      <w:r w:rsidR="00931BB3">
        <w:rPr>
          <w:rFonts w:eastAsia="Times New Roman" w:cs="Arial"/>
          <w:sz w:val="24"/>
        </w:rPr>
        <w:t>Using 2021 permit and return data, t</w:t>
      </w:r>
      <w:r w:rsidR="008E6F0B">
        <w:rPr>
          <w:rFonts w:eastAsia="Times New Roman" w:cs="Arial"/>
          <w:sz w:val="24"/>
        </w:rPr>
        <w:t>his will move an additional approximate 45,000 taxpayers</w:t>
      </w:r>
      <w:r w:rsidR="00931BB3">
        <w:rPr>
          <w:rFonts w:eastAsia="Times New Roman" w:cs="Arial"/>
          <w:sz w:val="24"/>
        </w:rPr>
        <w:t xml:space="preserve"> </w:t>
      </w:r>
      <w:r w:rsidR="008E6F0B">
        <w:rPr>
          <w:rFonts w:eastAsia="Times New Roman" w:cs="Arial"/>
          <w:sz w:val="24"/>
        </w:rPr>
        <w:t>to an annual filing and payment status</w:t>
      </w:r>
      <w:r w:rsidR="00931BB3">
        <w:rPr>
          <w:rFonts w:eastAsia="Times New Roman" w:cs="Arial"/>
          <w:sz w:val="24"/>
        </w:rPr>
        <w:t xml:space="preserve"> for a total of 77,000 annual filers out of 132,000 total permit holders,</w:t>
      </w:r>
      <w:r w:rsidR="008E6F0B">
        <w:rPr>
          <w:rFonts w:eastAsia="Times New Roman" w:cs="Arial"/>
          <w:sz w:val="24"/>
        </w:rPr>
        <w:t xml:space="preserve"> but will have a negligible impact </w:t>
      </w:r>
      <w:r w:rsidR="00931BB3">
        <w:rPr>
          <w:rFonts w:eastAsia="Times New Roman" w:cs="Arial"/>
          <w:sz w:val="24"/>
        </w:rPr>
        <w:t xml:space="preserve">to total tax collections: these 77,000 annual filers will remit $13 million, while monthly filers will remit $3.4 billion. </w:t>
      </w:r>
    </w:p>
    <w:p w:rsidR="007C2AE7" w:rsidRDefault="007C2AE7" w:rsidP="003F06E6">
      <w:pPr>
        <w:ind w:firstLine="0"/>
        <w:rPr>
          <w:rFonts w:eastAsia="Times New Roman" w:cs="Arial"/>
          <w:sz w:val="24"/>
        </w:rPr>
      </w:pPr>
      <w:bookmarkStart w:id="0" w:name="_GoBack"/>
      <w:bookmarkEnd w:id="0"/>
    </w:p>
    <w:p w:rsidR="008B5C3A" w:rsidRPr="003F06E6" w:rsidRDefault="00B4561C" w:rsidP="003F06E6">
      <w:pPr>
        <w:ind w:firstLine="0"/>
        <w:rPr>
          <w:rFonts w:ascii="Times New Roman" w:eastAsia="Times New Roman" w:hAnsi="Times New Roman"/>
          <w:sz w:val="24"/>
        </w:rPr>
      </w:pPr>
      <w:r w:rsidRPr="00B4561C">
        <w:rPr>
          <w:rFonts w:eastAsia="Times New Roman" w:cs="Arial"/>
          <w:sz w:val="24"/>
        </w:rPr>
        <w:t xml:space="preserve">Additionally, and especially </w:t>
      </w:r>
      <w:r w:rsidR="007C2AE7">
        <w:rPr>
          <w:rFonts w:eastAsia="Times New Roman" w:cs="Arial"/>
          <w:sz w:val="24"/>
        </w:rPr>
        <w:t>in conjunction with an increase in the annual filer</w:t>
      </w:r>
      <w:r w:rsidRPr="00B4561C">
        <w:rPr>
          <w:rFonts w:eastAsia="Times New Roman" w:cs="Arial"/>
          <w:sz w:val="24"/>
        </w:rPr>
        <w:t xml:space="preserve"> threshold, it is reasonable to expect businesses in 2022 to file tax returns electronically. Electronic filing and payment </w:t>
      </w:r>
      <w:proofErr w:type="gramStart"/>
      <w:r w:rsidRPr="00B4561C">
        <w:rPr>
          <w:rFonts w:eastAsia="Times New Roman" w:cs="Arial"/>
          <w:sz w:val="24"/>
        </w:rPr>
        <w:t>is</w:t>
      </w:r>
      <w:proofErr w:type="gramEnd"/>
      <w:r w:rsidRPr="00B4561C">
        <w:rPr>
          <w:rFonts w:eastAsia="Times New Roman" w:cs="Arial"/>
          <w:sz w:val="24"/>
        </w:rPr>
        <w:t xml:space="preserve"> common in other states and for various tax types. The new tax system will be </w:t>
      </w:r>
      <w:r w:rsidR="007C2AE7" w:rsidRPr="003F06E6">
        <w:rPr>
          <w:rFonts w:eastAsia="Times New Roman" w:cs="Arial"/>
          <w:sz w:val="24"/>
        </w:rPr>
        <w:t>boundlessly</w:t>
      </w:r>
      <w:r w:rsidRPr="00B4561C">
        <w:rPr>
          <w:rFonts w:eastAsia="Times New Roman" w:cs="Arial"/>
          <w:sz w:val="24"/>
        </w:rPr>
        <w:t xml:space="preserve"> easier for taxpayers to use, making these changes much more manageable than if the Department implemented them using </w:t>
      </w:r>
      <w:r w:rsidR="007C2AE7">
        <w:rPr>
          <w:rFonts w:eastAsia="Times New Roman" w:cs="Arial"/>
          <w:sz w:val="24"/>
        </w:rPr>
        <w:t>its prior</w:t>
      </w:r>
      <w:r w:rsidRPr="00B4561C">
        <w:rPr>
          <w:rFonts w:eastAsia="Times New Roman" w:cs="Arial"/>
          <w:sz w:val="24"/>
        </w:rPr>
        <w:t xml:space="preserve"> filing and payment processes.</w:t>
      </w:r>
    </w:p>
    <w:sectPr w:rsidR="008B5C3A" w:rsidRPr="003F0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370"/>
    <w:multiLevelType w:val="multilevel"/>
    <w:tmpl w:val="C4884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82258"/>
    <w:multiLevelType w:val="multilevel"/>
    <w:tmpl w:val="AA54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94455"/>
    <w:multiLevelType w:val="hybridMultilevel"/>
    <w:tmpl w:val="8670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03671"/>
    <w:multiLevelType w:val="multilevel"/>
    <w:tmpl w:val="AAD0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1C"/>
    <w:rsid w:val="00030625"/>
    <w:rsid w:val="00042B82"/>
    <w:rsid w:val="003F06E6"/>
    <w:rsid w:val="00510105"/>
    <w:rsid w:val="00545235"/>
    <w:rsid w:val="00626B15"/>
    <w:rsid w:val="007C2AE7"/>
    <w:rsid w:val="008B5C3A"/>
    <w:rsid w:val="008E6F0B"/>
    <w:rsid w:val="00931BB3"/>
    <w:rsid w:val="00B15EC3"/>
    <w:rsid w:val="00B4561C"/>
    <w:rsid w:val="00ED6B81"/>
    <w:rsid w:val="00FF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B849"/>
  <w15:chartTrackingRefBased/>
  <w15:docId w15:val="{75BF659B-FA3D-43CD-9244-FAA7F7E5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Cs w:val="24"/>
        <w:lang w:val="en-US" w:eastAsia="en-US" w:bidi="ar-SA"/>
      </w:rPr>
    </w:rPrDefault>
    <w:pPrDefault>
      <w:pPr>
        <w:ind w:firstLine="21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4561C"/>
    <w:pPr>
      <w:spacing w:before="100" w:beforeAutospacing="1" w:after="100" w:afterAutospacing="1"/>
      <w:ind w:firstLine="0"/>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1C"/>
    <w:rPr>
      <w:rFonts w:ascii="Times New Roman" w:eastAsia="Times New Roman" w:hAnsi="Times New Roman"/>
      <w:b/>
      <w:bCs/>
      <w:sz w:val="36"/>
      <w:szCs w:val="36"/>
    </w:rPr>
  </w:style>
  <w:style w:type="paragraph" w:styleId="NormalWeb">
    <w:name w:val="Normal (Web)"/>
    <w:basedOn w:val="Normal"/>
    <w:uiPriority w:val="99"/>
    <w:semiHidden/>
    <w:unhideWhenUsed/>
    <w:rsid w:val="00B4561C"/>
    <w:pPr>
      <w:spacing w:before="100" w:beforeAutospacing="1" w:after="100" w:afterAutospacing="1"/>
      <w:ind w:firstLine="0"/>
    </w:pPr>
    <w:rPr>
      <w:rFonts w:ascii="Times New Roman" w:eastAsia="Times New Roman" w:hAnsi="Times New Roman"/>
      <w:sz w:val="24"/>
    </w:rPr>
  </w:style>
  <w:style w:type="paragraph" w:styleId="ListParagraph">
    <w:name w:val="List Paragraph"/>
    <w:basedOn w:val="Normal"/>
    <w:uiPriority w:val="34"/>
    <w:qFormat/>
    <w:rsid w:val="00B15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3413">
      <w:bodyDiv w:val="1"/>
      <w:marLeft w:val="0"/>
      <w:marRight w:val="0"/>
      <w:marTop w:val="0"/>
      <w:marBottom w:val="0"/>
      <w:divBdr>
        <w:top w:val="none" w:sz="0" w:space="0" w:color="auto"/>
        <w:left w:val="none" w:sz="0" w:space="0" w:color="auto"/>
        <w:bottom w:val="none" w:sz="0" w:space="0" w:color="auto"/>
        <w:right w:val="none" w:sz="0" w:space="0" w:color="auto"/>
      </w:divBdr>
      <w:divsChild>
        <w:div w:id="1905414087">
          <w:marLeft w:val="0"/>
          <w:marRight w:val="0"/>
          <w:marTop w:val="0"/>
          <w:marBottom w:val="0"/>
          <w:divBdr>
            <w:top w:val="none" w:sz="0" w:space="0" w:color="auto"/>
            <w:left w:val="none" w:sz="0" w:space="0" w:color="auto"/>
            <w:bottom w:val="none" w:sz="0" w:space="0" w:color="auto"/>
            <w:right w:val="none" w:sz="0" w:space="0" w:color="auto"/>
          </w:divBdr>
        </w:div>
        <w:div w:id="665942344">
          <w:marLeft w:val="0"/>
          <w:marRight w:val="0"/>
          <w:marTop w:val="0"/>
          <w:marBottom w:val="0"/>
          <w:divBdr>
            <w:top w:val="none" w:sz="0" w:space="0" w:color="auto"/>
            <w:left w:val="none" w:sz="0" w:space="0" w:color="auto"/>
            <w:bottom w:val="none" w:sz="0" w:space="0" w:color="auto"/>
            <w:right w:val="none" w:sz="0" w:space="0" w:color="auto"/>
          </w:divBdr>
        </w:div>
        <w:div w:id="1509708849">
          <w:marLeft w:val="0"/>
          <w:marRight w:val="0"/>
          <w:marTop w:val="0"/>
          <w:marBottom w:val="0"/>
          <w:divBdr>
            <w:top w:val="none" w:sz="0" w:space="0" w:color="auto"/>
            <w:left w:val="none" w:sz="0" w:space="0" w:color="auto"/>
            <w:bottom w:val="none" w:sz="0" w:space="0" w:color="auto"/>
            <w:right w:val="none" w:sz="0" w:space="0" w:color="auto"/>
          </w:divBdr>
        </w:div>
        <w:div w:id="534123932">
          <w:marLeft w:val="0"/>
          <w:marRight w:val="0"/>
          <w:marTop w:val="0"/>
          <w:marBottom w:val="0"/>
          <w:divBdr>
            <w:top w:val="none" w:sz="0" w:space="0" w:color="auto"/>
            <w:left w:val="none" w:sz="0" w:space="0" w:color="auto"/>
            <w:bottom w:val="none" w:sz="0" w:space="0" w:color="auto"/>
            <w:right w:val="none" w:sz="0" w:space="0" w:color="auto"/>
          </w:divBdr>
        </w:div>
      </w:divsChild>
    </w:div>
    <w:div w:id="115572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Tim [IDR]</dc:creator>
  <cp:keywords/>
  <dc:description/>
  <cp:lastModifiedBy>Reilly, Tim [IDR]</cp:lastModifiedBy>
  <cp:revision>4</cp:revision>
  <dcterms:created xsi:type="dcterms:W3CDTF">2021-12-13T22:05:00Z</dcterms:created>
  <dcterms:modified xsi:type="dcterms:W3CDTF">2021-12-14T16:00:00Z</dcterms:modified>
</cp:coreProperties>
</file>