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B7" w:rsidRPr="00D04838" w:rsidRDefault="003A46B7" w:rsidP="003A46B7">
      <w:pPr>
        <w:pStyle w:val="Title"/>
        <w:rPr>
          <w:rFonts w:ascii="Calibri" w:hAnsi="Calibri" w:cs="Calibri"/>
        </w:rPr>
      </w:pPr>
      <w:r w:rsidRPr="00D04838">
        <w:rPr>
          <w:rFonts w:ascii="Calibri" w:hAnsi="Calibri" w:cs="Calibri"/>
        </w:rPr>
        <w:t xml:space="preserve">Iowa </w:t>
      </w:r>
      <w:r>
        <w:rPr>
          <w:rFonts w:ascii="Calibri" w:hAnsi="Calibri" w:cs="Calibri"/>
        </w:rPr>
        <w:t>State Operating Fund</w:t>
      </w:r>
    </w:p>
    <w:p w:rsidR="003A46B7" w:rsidRPr="00D04838" w:rsidRDefault="003A46B7" w:rsidP="003A46B7">
      <w:pPr>
        <w:jc w:val="center"/>
        <w:rPr>
          <w:rFonts w:ascii="Calibri" w:hAnsi="Calibri" w:cs="Calibri"/>
          <w:b/>
          <w:sz w:val="28"/>
        </w:rPr>
      </w:pPr>
      <w:r w:rsidRPr="00D04838">
        <w:rPr>
          <w:rFonts w:ascii="Calibri" w:hAnsi="Calibri" w:cs="Calibri"/>
          <w:b/>
          <w:sz w:val="28"/>
        </w:rPr>
        <w:t>Annual Report</w:t>
      </w:r>
    </w:p>
    <w:p w:rsidR="003A46B7" w:rsidRPr="00D04838" w:rsidRDefault="003A46B7" w:rsidP="003A46B7">
      <w:pPr>
        <w:jc w:val="center"/>
        <w:rPr>
          <w:rFonts w:ascii="Calibri" w:hAnsi="Calibri" w:cs="Calibri"/>
          <w:b/>
          <w:sz w:val="28"/>
        </w:rPr>
      </w:pPr>
      <w:r w:rsidRPr="00D04838">
        <w:rPr>
          <w:rFonts w:ascii="Calibri" w:hAnsi="Calibri" w:cs="Calibri"/>
          <w:b/>
          <w:sz w:val="28"/>
        </w:rPr>
        <w:t>On Iran Divestment</w:t>
      </w:r>
    </w:p>
    <w:p w:rsidR="003A46B7" w:rsidRPr="00D04838" w:rsidRDefault="003A46B7" w:rsidP="003A46B7">
      <w:pPr>
        <w:pStyle w:val="Heading1"/>
        <w:rPr>
          <w:rFonts w:ascii="Calibri" w:hAnsi="Calibri" w:cs="Calibri"/>
          <w:sz w:val="28"/>
          <w:szCs w:val="28"/>
        </w:rPr>
      </w:pPr>
      <w:r w:rsidRPr="00D04838">
        <w:rPr>
          <w:rFonts w:ascii="Calibri" w:hAnsi="Calibri" w:cs="Calibri"/>
          <w:sz w:val="28"/>
          <w:szCs w:val="28"/>
        </w:rPr>
        <w:t xml:space="preserve">For The Fiscal Year Ended June 30, </w:t>
      </w:r>
      <w:r>
        <w:rPr>
          <w:rFonts w:ascii="Calibri" w:hAnsi="Calibri" w:cs="Calibri"/>
          <w:sz w:val="28"/>
          <w:szCs w:val="28"/>
        </w:rPr>
        <w:t>2013</w:t>
      </w:r>
    </w:p>
    <w:p w:rsidR="003A46B7" w:rsidRPr="00D04838" w:rsidRDefault="003A46B7" w:rsidP="003A46B7">
      <w:pPr>
        <w:jc w:val="center"/>
        <w:rPr>
          <w:rFonts w:ascii="Calibri" w:hAnsi="Calibri" w:cs="Calibri"/>
          <w:b/>
          <w:sz w:val="22"/>
        </w:rPr>
      </w:pPr>
    </w:p>
    <w:p w:rsidR="003A46B7" w:rsidRPr="00D04838" w:rsidRDefault="003A46B7" w:rsidP="003A46B7">
      <w:pPr>
        <w:pStyle w:val="Heading2"/>
        <w:rPr>
          <w:rFonts w:ascii="Calibri" w:hAnsi="Calibri" w:cs="Calibri"/>
          <w:b/>
          <w:sz w:val="22"/>
          <w:szCs w:val="22"/>
        </w:rPr>
      </w:pPr>
      <w:r w:rsidRPr="00D04838">
        <w:rPr>
          <w:rFonts w:ascii="Calibri" w:hAnsi="Calibri" w:cs="Calibri"/>
          <w:b/>
          <w:sz w:val="22"/>
          <w:szCs w:val="22"/>
        </w:rPr>
        <w:t>Purpose</w:t>
      </w:r>
    </w:p>
    <w:p w:rsidR="003A46B7" w:rsidRPr="00D04838" w:rsidRDefault="003A46B7" w:rsidP="003A46B7">
      <w:pPr>
        <w:pStyle w:val="Heading2"/>
        <w:rPr>
          <w:rFonts w:ascii="Calibri" w:hAnsi="Calibri" w:cs="Calibri"/>
          <w:sz w:val="22"/>
          <w:szCs w:val="22"/>
        </w:rPr>
      </w:pPr>
      <w:r w:rsidRPr="00D04838">
        <w:rPr>
          <w:rFonts w:ascii="Calibri" w:hAnsi="Calibri" w:cs="Calibri"/>
          <w:sz w:val="22"/>
          <w:szCs w:val="22"/>
        </w:rPr>
        <w:t xml:space="preserve">This is the </w:t>
      </w:r>
      <w:r>
        <w:rPr>
          <w:rFonts w:ascii="Calibri" w:hAnsi="Calibri" w:cs="Calibri"/>
          <w:sz w:val="22"/>
          <w:szCs w:val="22"/>
        </w:rPr>
        <w:t>second</w:t>
      </w:r>
      <w:r w:rsidRPr="00D04838">
        <w:rPr>
          <w:rFonts w:ascii="Calibri" w:hAnsi="Calibri" w:cs="Calibri"/>
          <w:sz w:val="22"/>
          <w:szCs w:val="22"/>
        </w:rPr>
        <w:t xml:space="preserve"> annual report required by Iowa Code Chapter 12H regarding restrictions on Iran-related investments by the Iowa </w:t>
      </w:r>
      <w:r>
        <w:rPr>
          <w:rFonts w:ascii="Calibri" w:hAnsi="Calibri" w:cs="Calibri"/>
          <w:sz w:val="22"/>
          <w:szCs w:val="22"/>
        </w:rPr>
        <w:t>State Operating Fund</w:t>
      </w:r>
      <w:r w:rsidRPr="00D04838">
        <w:rPr>
          <w:rFonts w:ascii="Calibri" w:hAnsi="Calibri" w:cs="Calibri"/>
          <w:sz w:val="22"/>
          <w:szCs w:val="22"/>
        </w:rPr>
        <w:t xml:space="preserve"> (</w:t>
      </w:r>
      <w:r>
        <w:rPr>
          <w:rFonts w:ascii="Calibri" w:hAnsi="Calibri" w:cs="Calibri"/>
          <w:sz w:val="22"/>
          <w:szCs w:val="22"/>
        </w:rPr>
        <w:t>SOF</w:t>
      </w:r>
      <w:r w:rsidRPr="00D04838">
        <w:rPr>
          <w:rFonts w:ascii="Calibri" w:hAnsi="Calibri" w:cs="Calibri"/>
          <w:sz w:val="22"/>
          <w:szCs w:val="22"/>
        </w:rPr>
        <w:t>).  In response to the support that Iran has provided for acts of international terrorism, the General Assembly passed HF484, which places restrictions on investments in certain companies that have active business operations in Iran.  Effective beginning March 1, 2012, this law intends for state funds not to be invested in companies that provide power production-related services, mineral extraction activities, oil-related activities, or military equipment to the government of Iran.</w:t>
      </w:r>
    </w:p>
    <w:p w:rsidR="003A46B7" w:rsidRPr="00D04838" w:rsidRDefault="003A46B7" w:rsidP="003A46B7">
      <w:pPr>
        <w:rPr>
          <w:rFonts w:ascii="Calibri" w:hAnsi="Calibri" w:cs="Calibri"/>
          <w:sz w:val="22"/>
          <w:szCs w:val="22"/>
        </w:rPr>
      </w:pPr>
    </w:p>
    <w:p w:rsidR="003A46B7" w:rsidRPr="00D04838" w:rsidRDefault="003A46B7" w:rsidP="003A46B7">
      <w:pPr>
        <w:pStyle w:val="Heading2"/>
        <w:rPr>
          <w:rFonts w:ascii="Calibri" w:hAnsi="Calibri" w:cs="Calibri"/>
          <w:sz w:val="22"/>
          <w:szCs w:val="22"/>
        </w:rPr>
      </w:pPr>
      <w:r w:rsidRPr="00D04838">
        <w:rPr>
          <w:rFonts w:ascii="Calibri" w:hAnsi="Calibri" w:cs="Calibri"/>
          <w:sz w:val="22"/>
          <w:szCs w:val="22"/>
        </w:rPr>
        <w:t xml:space="preserve">Chapter 12H applies to </w:t>
      </w:r>
      <w:r>
        <w:rPr>
          <w:rFonts w:ascii="Calibri" w:hAnsi="Calibri" w:cs="Calibri"/>
          <w:sz w:val="22"/>
          <w:szCs w:val="22"/>
        </w:rPr>
        <w:t>SOF</w:t>
      </w:r>
      <w:r w:rsidRPr="00D04838">
        <w:rPr>
          <w:rFonts w:ascii="Calibri" w:hAnsi="Calibri" w:cs="Calibri"/>
          <w:sz w:val="22"/>
          <w:szCs w:val="22"/>
        </w:rPr>
        <w:t xml:space="preserve"> in the following ways:</w:t>
      </w:r>
    </w:p>
    <w:p w:rsidR="003A46B7" w:rsidRPr="00D04838" w:rsidRDefault="003A46B7" w:rsidP="003A46B7">
      <w:pPr>
        <w:pStyle w:val="Heading2"/>
        <w:ind w:left="720" w:right="720"/>
        <w:rPr>
          <w:rFonts w:ascii="Calibri" w:hAnsi="Calibri" w:cs="Calibri"/>
          <w:sz w:val="22"/>
          <w:szCs w:val="22"/>
        </w:rPr>
      </w:pPr>
    </w:p>
    <w:p w:rsidR="003A46B7" w:rsidRPr="00D04838" w:rsidRDefault="003A46B7" w:rsidP="003A46B7">
      <w:pPr>
        <w:pStyle w:val="Heading2"/>
        <w:ind w:left="720" w:right="720"/>
        <w:rPr>
          <w:rFonts w:ascii="Calibri" w:hAnsi="Calibri" w:cs="Calibri"/>
          <w:color w:val="191919"/>
          <w:sz w:val="22"/>
          <w:szCs w:val="22"/>
        </w:rPr>
      </w:pPr>
      <w:r w:rsidRPr="00D04838">
        <w:rPr>
          <w:rFonts w:ascii="Calibri" w:hAnsi="Calibri" w:cs="Calibri"/>
          <w:sz w:val="22"/>
          <w:szCs w:val="22"/>
        </w:rPr>
        <w:t xml:space="preserve">The system must identify and make available to the public a quarterly updated list of scrutinized companies, which have active or inactive business operations in Iran.  </w:t>
      </w:r>
      <w:r>
        <w:rPr>
          <w:rFonts w:ascii="Calibri" w:hAnsi="Calibri" w:cs="Calibri"/>
          <w:sz w:val="22"/>
          <w:szCs w:val="22"/>
        </w:rPr>
        <w:t>SOF</w:t>
      </w:r>
      <w:r w:rsidRPr="00D04838">
        <w:rPr>
          <w:rFonts w:ascii="Calibri" w:hAnsi="Calibri" w:cs="Calibri"/>
          <w:sz w:val="22"/>
          <w:szCs w:val="22"/>
        </w:rPr>
        <w:t xml:space="preserve"> </w:t>
      </w:r>
      <w:r w:rsidRPr="00D04838">
        <w:rPr>
          <w:rFonts w:ascii="Calibri" w:hAnsi="Calibri" w:cs="Calibri"/>
          <w:color w:val="191919"/>
          <w:sz w:val="22"/>
          <w:szCs w:val="22"/>
        </w:rPr>
        <w:t>uses the research services of IW Financial, Inc. to assist in developing the list of scrutinized companies to comply with this requirement.</w:t>
      </w:r>
    </w:p>
    <w:p w:rsidR="003A46B7" w:rsidRPr="00580189" w:rsidRDefault="003A46B7" w:rsidP="003A46B7"/>
    <w:p w:rsidR="003A46B7" w:rsidRPr="00D04838" w:rsidRDefault="003A46B7" w:rsidP="003A46B7">
      <w:pPr>
        <w:pStyle w:val="Heading2"/>
        <w:ind w:left="720" w:right="720"/>
        <w:rPr>
          <w:rFonts w:ascii="Calibri" w:hAnsi="Calibri" w:cs="Calibri"/>
          <w:sz w:val="22"/>
          <w:szCs w:val="22"/>
        </w:rPr>
      </w:pPr>
      <w:r>
        <w:rPr>
          <w:rFonts w:ascii="Calibri" w:hAnsi="Calibri" w:cs="Calibri"/>
          <w:sz w:val="22"/>
          <w:szCs w:val="22"/>
        </w:rPr>
        <w:t>SOF</w:t>
      </w:r>
      <w:r w:rsidRPr="00D04838">
        <w:rPr>
          <w:rFonts w:ascii="Calibri" w:hAnsi="Calibri" w:cs="Calibri"/>
          <w:sz w:val="22"/>
          <w:szCs w:val="22"/>
        </w:rPr>
        <w:t xml:space="preserve"> is prohibited from directly investing in scrutinized companies with active business operations listed on the most cur</w:t>
      </w:r>
      <w:r>
        <w:rPr>
          <w:rFonts w:ascii="Calibri" w:hAnsi="Calibri" w:cs="Calibri"/>
          <w:sz w:val="22"/>
          <w:szCs w:val="22"/>
        </w:rPr>
        <w:t>rent quarterly list.  The fund was required to</w:t>
      </w:r>
      <w:r w:rsidRPr="00D04838">
        <w:rPr>
          <w:rFonts w:ascii="Calibri" w:hAnsi="Calibri" w:cs="Calibri"/>
          <w:sz w:val="22"/>
          <w:szCs w:val="22"/>
        </w:rPr>
        <w:t xml:space="preserve"> divest from any company with active business operations that were directly held by the fund as of March 1, 2012</w:t>
      </w:r>
      <w:r>
        <w:rPr>
          <w:rFonts w:ascii="Calibri" w:hAnsi="Calibri" w:cs="Calibri"/>
          <w:sz w:val="22"/>
          <w:szCs w:val="22"/>
        </w:rPr>
        <w:t>,</w:t>
      </w:r>
      <w:r w:rsidRPr="00D04838">
        <w:rPr>
          <w:rFonts w:ascii="Calibri" w:hAnsi="Calibri" w:cs="Calibri"/>
          <w:sz w:val="22"/>
          <w:szCs w:val="22"/>
        </w:rPr>
        <w:t xml:space="preserve"> after sending written notification to the company.</w:t>
      </w:r>
    </w:p>
    <w:p w:rsidR="003A46B7" w:rsidRPr="00D04838" w:rsidRDefault="003A46B7" w:rsidP="003A46B7">
      <w:pPr>
        <w:rPr>
          <w:rFonts w:ascii="Calibri" w:hAnsi="Calibri" w:cs="Calibri"/>
          <w:sz w:val="22"/>
          <w:szCs w:val="22"/>
        </w:rPr>
      </w:pPr>
    </w:p>
    <w:p w:rsidR="003A46B7" w:rsidRPr="00D04838" w:rsidRDefault="003A46B7" w:rsidP="003A46B7">
      <w:pPr>
        <w:pStyle w:val="BlockText"/>
        <w:rPr>
          <w:rFonts w:ascii="Calibri" w:hAnsi="Calibri" w:cs="Calibri"/>
          <w:sz w:val="22"/>
          <w:szCs w:val="22"/>
        </w:rPr>
      </w:pPr>
      <w:r w:rsidRPr="00D04838">
        <w:rPr>
          <w:rFonts w:ascii="Calibri" w:hAnsi="Calibri" w:cs="Calibri"/>
          <w:sz w:val="22"/>
          <w:szCs w:val="22"/>
        </w:rPr>
        <w:t xml:space="preserve">Any company owned indirectly through a fund is not subject to divestment, but still requires that </w:t>
      </w:r>
      <w:r>
        <w:rPr>
          <w:rFonts w:ascii="Calibri" w:hAnsi="Calibri" w:cs="Calibri"/>
          <w:sz w:val="22"/>
          <w:szCs w:val="22"/>
        </w:rPr>
        <w:t>SOF</w:t>
      </w:r>
      <w:r w:rsidRPr="00D04838">
        <w:rPr>
          <w:rFonts w:ascii="Calibri" w:hAnsi="Calibri" w:cs="Calibri"/>
          <w:sz w:val="22"/>
          <w:szCs w:val="22"/>
        </w:rPr>
        <w:t xml:space="preserve"> send written notification.  Further, </w:t>
      </w:r>
      <w:r>
        <w:rPr>
          <w:rFonts w:ascii="Calibri" w:hAnsi="Calibri" w:cs="Calibri"/>
          <w:sz w:val="22"/>
          <w:szCs w:val="22"/>
        </w:rPr>
        <w:t>SOF</w:t>
      </w:r>
      <w:r w:rsidRPr="00D04838">
        <w:rPr>
          <w:rFonts w:ascii="Calibri" w:hAnsi="Calibri" w:cs="Calibri"/>
          <w:sz w:val="22"/>
          <w:szCs w:val="22"/>
        </w:rPr>
        <w:t xml:space="preserve"> is required to send written correspondence to the investment managers of funds with scrutinized company holdings urging the managers to divest of the scrutinized companies or start a separate fund free of Iran-related holdings.</w:t>
      </w:r>
    </w:p>
    <w:p w:rsidR="003A46B7" w:rsidRPr="00D04838" w:rsidRDefault="003A46B7" w:rsidP="003A46B7">
      <w:pPr>
        <w:pStyle w:val="BlockText"/>
        <w:rPr>
          <w:rFonts w:ascii="Calibri" w:hAnsi="Calibri" w:cs="Calibri"/>
          <w:sz w:val="22"/>
          <w:szCs w:val="22"/>
        </w:rPr>
      </w:pPr>
    </w:p>
    <w:p w:rsidR="003A46B7" w:rsidRPr="00D04838" w:rsidRDefault="003A46B7" w:rsidP="003A46B7">
      <w:pPr>
        <w:pStyle w:val="BlockText"/>
        <w:ind w:left="0" w:right="0"/>
        <w:rPr>
          <w:rFonts w:ascii="Calibri" w:hAnsi="Calibri" w:cs="Calibri"/>
          <w:b/>
          <w:sz w:val="22"/>
          <w:szCs w:val="22"/>
        </w:rPr>
      </w:pPr>
      <w:r w:rsidRPr="00D04838">
        <w:rPr>
          <w:rFonts w:ascii="Calibri" w:hAnsi="Calibri" w:cs="Calibri"/>
          <w:b/>
          <w:sz w:val="22"/>
          <w:szCs w:val="22"/>
        </w:rPr>
        <w:t>Scrutinized Companies List</w:t>
      </w:r>
    </w:p>
    <w:p w:rsidR="003A46B7" w:rsidRDefault="003A46B7" w:rsidP="003A46B7">
      <w:pPr>
        <w:pStyle w:val="BlockText"/>
        <w:ind w:left="0" w:right="0"/>
        <w:rPr>
          <w:rFonts w:ascii="Calibri" w:hAnsi="Calibri" w:cs="Calibri"/>
          <w:sz w:val="22"/>
          <w:szCs w:val="22"/>
        </w:rPr>
      </w:pPr>
      <w:r>
        <w:rPr>
          <w:rFonts w:ascii="Calibri" w:hAnsi="Calibri" w:cs="Calibri"/>
          <w:sz w:val="22"/>
          <w:szCs w:val="22"/>
        </w:rPr>
        <w:t>SOF’s</w:t>
      </w:r>
      <w:r w:rsidRPr="00D04838">
        <w:rPr>
          <w:rFonts w:ascii="Calibri" w:hAnsi="Calibri" w:cs="Calibri"/>
          <w:sz w:val="22"/>
          <w:szCs w:val="22"/>
        </w:rPr>
        <w:t xml:space="preserve"> FY 201</w:t>
      </w:r>
      <w:r>
        <w:rPr>
          <w:rFonts w:ascii="Calibri" w:hAnsi="Calibri" w:cs="Calibri"/>
          <w:sz w:val="22"/>
          <w:szCs w:val="22"/>
        </w:rPr>
        <w:t>3</w:t>
      </w:r>
      <w:r w:rsidRPr="00D04838">
        <w:rPr>
          <w:rFonts w:ascii="Calibri" w:hAnsi="Calibri" w:cs="Calibri"/>
          <w:sz w:val="22"/>
          <w:szCs w:val="22"/>
        </w:rPr>
        <w:t xml:space="preserve"> quarterly scrutinized </w:t>
      </w:r>
      <w:r>
        <w:rPr>
          <w:rFonts w:ascii="Calibri" w:hAnsi="Calibri" w:cs="Calibri"/>
          <w:sz w:val="22"/>
          <w:szCs w:val="22"/>
        </w:rPr>
        <w:t>company</w:t>
      </w:r>
      <w:r w:rsidRPr="00D04838">
        <w:rPr>
          <w:rFonts w:ascii="Calibri" w:hAnsi="Calibri" w:cs="Calibri"/>
          <w:sz w:val="22"/>
          <w:szCs w:val="22"/>
        </w:rPr>
        <w:t xml:space="preserve"> list is attached.  </w:t>
      </w:r>
      <w:r w:rsidRPr="005422FC">
        <w:rPr>
          <w:rFonts w:ascii="Calibri" w:hAnsi="Calibri" w:cs="Calibri"/>
          <w:sz w:val="22"/>
          <w:szCs w:val="22"/>
        </w:rPr>
        <w:t>As of June 30, 201</w:t>
      </w:r>
      <w:r>
        <w:rPr>
          <w:rFonts w:ascii="Calibri" w:hAnsi="Calibri" w:cs="Calibri"/>
          <w:sz w:val="22"/>
          <w:szCs w:val="22"/>
        </w:rPr>
        <w:t>3</w:t>
      </w:r>
      <w:r w:rsidRPr="005422FC">
        <w:rPr>
          <w:rFonts w:ascii="Calibri" w:hAnsi="Calibri" w:cs="Calibri"/>
          <w:sz w:val="22"/>
          <w:szCs w:val="22"/>
        </w:rPr>
        <w:t xml:space="preserve"> </w:t>
      </w:r>
      <w:r>
        <w:rPr>
          <w:rFonts w:ascii="Calibri" w:hAnsi="Calibri" w:cs="Calibri"/>
          <w:sz w:val="22"/>
          <w:szCs w:val="22"/>
        </w:rPr>
        <w:t>SOF</w:t>
      </w:r>
      <w:r w:rsidRPr="005422FC">
        <w:rPr>
          <w:rFonts w:ascii="Calibri" w:hAnsi="Calibri" w:cs="Calibri"/>
          <w:sz w:val="22"/>
          <w:szCs w:val="22"/>
        </w:rPr>
        <w:t xml:space="preserve"> does not hold, either directly or indirectly, any companies on the </w:t>
      </w:r>
      <w:r>
        <w:rPr>
          <w:rFonts w:ascii="Calibri" w:hAnsi="Calibri" w:cs="Calibri"/>
          <w:sz w:val="22"/>
          <w:szCs w:val="22"/>
        </w:rPr>
        <w:t>list of scrutinized companies</w:t>
      </w:r>
      <w:r w:rsidRPr="005422FC">
        <w:rPr>
          <w:rFonts w:ascii="Calibri" w:hAnsi="Calibri" w:cs="Calibri"/>
          <w:sz w:val="22"/>
          <w:szCs w:val="22"/>
        </w:rPr>
        <w:t>.</w:t>
      </w:r>
    </w:p>
    <w:p w:rsidR="003A46B7" w:rsidRPr="00D04838" w:rsidRDefault="003A46B7" w:rsidP="003A46B7">
      <w:pPr>
        <w:pStyle w:val="BlockText"/>
        <w:ind w:left="0" w:right="0"/>
        <w:rPr>
          <w:rFonts w:ascii="Calibri" w:hAnsi="Calibri" w:cs="Calibri"/>
          <w:sz w:val="22"/>
          <w:szCs w:val="22"/>
        </w:rPr>
      </w:pPr>
    </w:p>
    <w:p w:rsidR="003A46B7" w:rsidRPr="00D04838" w:rsidRDefault="003A46B7" w:rsidP="003A46B7">
      <w:pPr>
        <w:pStyle w:val="BlockText"/>
        <w:ind w:left="0" w:right="0"/>
        <w:rPr>
          <w:rFonts w:ascii="Calibri" w:hAnsi="Calibri" w:cs="Calibri"/>
          <w:sz w:val="22"/>
          <w:szCs w:val="22"/>
        </w:rPr>
      </w:pPr>
      <w:r w:rsidRPr="00D04838">
        <w:rPr>
          <w:rFonts w:ascii="Calibri" w:hAnsi="Calibri" w:cs="Calibri"/>
          <w:b/>
          <w:sz w:val="22"/>
          <w:szCs w:val="22"/>
        </w:rPr>
        <w:t>Written Notices</w:t>
      </w:r>
    </w:p>
    <w:p w:rsidR="003A46B7" w:rsidRDefault="003A46B7" w:rsidP="003A46B7">
      <w:pPr>
        <w:pStyle w:val="BlockText"/>
        <w:ind w:left="0" w:right="0"/>
        <w:rPr>
          <w:rFonts w:ascii="Calibri" w:hAnsi="Calibri" w:cs="Calibri"/>
          <w:sz w:val="22"/>
          <w:szCs w:val="22"/>
        </w:rPr>
      </w:pPr>
      <w:r w:rsidRPr="001F3CC5">
        <w:rPr>
          <w:rFonts w:ascii="Calibri" w:hAnsi="Calibri" w:cs="Calibri"/>
          <w:sz w:val="22"/>
          <w:szCs w:val="22"/>
        </w:rPr>
        <w:t>During the fiscal year</w:t>
      </w:r>
      <w:r>
        <w:rPr>
          <w:rFonts w:ascii="Calibri" w:hAnsi="Calibri" w:cs="Calibri"/>
          <w:sz w:val="22"/>
          <w:szCs w:val="22"/>
        </w:rPr>
        <w:t>,</w:t>
      </w:r>
      <w:r w:rsidRPr="001F3CC5">
        <w:rPr>
          <w:rFonts w:ascii="Calibri" w:hAnsi="Calibri" w:cs="Calibri"/>
          <w:sz w:val="22"/>
          <w:szCs w:val="22"/>
        </w:rPr>
        <w:t xml:space="preserve"> no companies on the scrutinized company list were held either directly or indirectly by </w:t>
      </w:r>
      <w:r>
        <w:rPr>
          <w:rFonts w:ascii="Calibri" w:hAnsi="Calibri" w:cs="Calibri"/>
          <w:sz w:val="22"/>
          <w:szCs w:val="22"/>
        </w:rPr>
        <w:t>SOF.</w:t>
      </w:r>
    </w:p>
    <w:p w:rsidR="003A46B7" w:rsidRPr="00D04838" w:rsidRDefault="003A46B7" w:rsidP="003A46B7">
      <w:pPr>
        <w:pStyle w:val="BlockText"/>
        <w:ind w:left="0" w:right="0"/>
        <w:rPr>
          <w:rFonts w:ascii="Calibri" w:hAnsi="Calibri" w:cs="Calibri"/>
          <w:sz w:val="22"/>
          <w:szCs w:val="22"/>
        </w:rPr>
      </w:pPr>
    </w:p>
    <w:p w:rsidR="003A46B7" w:rsidRPr="00D04838" w:rsidRDefault="003A46B7" w:rsidP="003A46B7">
      <w:pPr>
        <w:pStyle w:val="BlockText"/>
        <w:ind w:left="0" w:right="0"/>
        <w:rPr>
          <w:rFonts w:ascii="Calibri" w:hAnsi="Calibri" w:cs="Calibri"/>
          <w:sz w:val="22"/>
          <w:szCs w:val="22"/>
        </w:rPr>
      </w:pPr>
      <w:r w:rsidRPr="00D04838">
        <w:rPr>
          <w:rFonts w:ascii="Calibri" w:hAnsi="Calibri" w:cs="Calibri"/>
          <w:b/>
          <w:sz w:val="22"/>
          <w:szCs w:val="22"/>
        </w:rPr>
        <w:t>Divestment</w:t>
      </w:r>
    </w:p>
    <w:p w:rsidR="003A46B7" w:rsidRDefault="003A46B7" w:rsidP="003A46B7">
      <w:pPr>
        <w:pStyle w:val="BlockText"/>
        <w:ind w:left="0" w:right="0"/>
        <w:rPr>
          <w:rFonts w:ascii="Calibri" w:hAnsi="Calibri" w:cs="Calibri"/>
          <w:sz w:val="22"/>
          <w:szCs w:val="22"/>
        </w:rPr>
      </w:pPr>
      <w:r w:rsidRPr="001F3CC5">
        <w:rPr>
          <w:rFonts w:ascii="Calibri" w:hAnsi="Calibri" w:cs="Calibri"/>
          <w:sz w:val="22"/>
          <w:szCs w:val="22"/>
        </w:rPr>
        <w:t xml:space="preserve">As </w:t>
      </w:r>
      <w:r>
        <w:rPr>
          <w:rFonts w:ascii="Calibri" w:hAnsi="Calibri" w:cs="Calibri"/>
          <w:sz w:val="22"/>
          <w:szCs w:val="22"/>
        </w:rPr>
        <w:t>SOF</w:t>
      </w:r>
      <w:r w:rsidRPr="001F3CC5">
        <w:rPr>
          <w:rFonts w:ascii="Calibri" w:hAnsi="Calibri" w:cs="Calibri"/>
          <w:sz w:val="22"/>
          <w:szCs w:val="22"/>
        </w:rPr>
        <w:t xml:space="preserve"> did not have any direct or indirect holdings of scrutinized companies, no divestment was required.  </w:t>
      </w:r>
    </w:p>
    <w:p w:rsidR="003A46B7" w:rsidRDefault="003A46B7" w:rsidP="003A46B7">
      <w:pPr>
        <w:pStyle w:val="BlockText"/>
        <w:ind w:left="0" w:right="0"/>
        <w:rPr>
          <w:rFonts w:ascii="Calibri" w:hAnsi="Calibri" w:cs="Calibri"/>
          <w:sz w:val="22"/>
          <w:szCs w:val="22"/>
        </w:rPr>
      </w:pPr>
    </w:p>
    <w:p w:rsidR="003A46B7" w:rsidRDefault="003A46B7" w:rsidP="003A46B7">
      <w:pPr>
        <w:pStyle w:val="BlockText"/>
        <w:ind w:left="0" w:right="0"/>
        <w:rPr>
          <w:rFonts w:ascii="Calibri" w:hAnsi="Calibri" w:cs="Calibri"/>
          <w:sz w:val="22"/>
          <w:szCs w:val="22"/>
        </w:rPr>
      </w:pPr>
    </w:p>
    <w:p w:rsidR="003A46B7" w:rsidRPr="00D04838" w:rsidRDefault="003A46B7" w:rsidP="003A46B7">
      <w:pPr>
        <w:pStyle w:val="BlockText"/>
        <w:ind w:left="0" w:right="0"/>
        <w:rPr>
          <w:rFonts w:ascii="Calibri" w:hAnsi="Calibri" w:cs="Calibri"/>
          <w:sz w:val="22"/>
          <w:szCs w:val="22"/>
        </w:rPr>
      </w:pPr>
    </w:p>
    <w:p w:rsidR="003A46B7" w:rsidRPr="00D04838" w:rsidRDefault="003A46B7" w:rsidP="003A46B7">
      <w:pPr>
        <w:pStyle w:val="BlockText"/>
        <w:ind w:left="0" w:right="0"/>
        <w:rPr>
          <w:rFonts w:ascii="Calibri" w:hAnsi="Calibri" w:cs="Calibri"/>
          <w:b/>
          <w:sz w:val="22"/>
          <w:szCs w:val="22"/>
        </w:rPr>
      </w:pPr>
      <w:r w:rsidRPr="00D04838">
        <w:rPr>
          <w:rFonts w:ascii="Calibri" w:hAnsi="Calibri" w:cs="Calibri"/>
          <w:b/>
          <w:sz w:val="22"/>
          <w:szCs w:val="22"/>
        </w:rPr>
        <w:t>Report Availability</w:t>
      </w:r>
    </w:p>
    <w:p w:rsidR="003A46B7" w:rsidRPr="00D04838" w:rsidRDefault="003A46B7" w:rsidP="003A46B7">
      <w:pPr>
        <w:pStyle w:val="BlockText"/>
        <w:ind w:left="0" w:right="0"/>
        <w:rPr>
          <w:rFonts w:ascii="Calibri" w:hAnsi="Calibri" w:cs="Calibri"/>
          <w:sz w:val="22"/>
          <w:szCs w:val="22"/>
        </w:rPr>
      </w:pPr>
      <w:r w:rsidRPr="00D04838">
        <w:rPr>
          <w:rFonts w:ascii="Calibri" w:hAnsi="Calibri" w:cs="Calibri"/>
          <w:sz w:val="22"/>
          <w:szCs w:val="22"/>
        </w:rPr>
        <w:lastRenderedPageBreak/>
        <w:t>This report, along with any other quarterly scrutinized company list can be obtained by contacting the Treasurer’s office at 515-281-8478 or jina.bresson@iowa.gov.</w:t>
      </w:r>
    </w:p>
    <w:p w:rsidR="0033334B" w:rsidRDefault="0033334B"/>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Pr="00D04838" w:rsidRDefault="003A46B7" w:rsidP="003A46B7">
      <w:pPr>
        <w:pStyle w:val="Title"/>
        <w:rPr>
          <w:rFonts w:ascii="Calibri" w:hAnsi="Calibri" w:cs="Calibri"/>
        </w:rPr>
      </w:pPr>
      <w:r w:rsidRPr="00D04838">
        <w:rPr>
          <w:rFonts w:ascii="Calibri" w:hAnsi="Calibri" w:cs="Calibri"/>
        </w:rPr>
        <w:lastRenderedPageBreak/>
        <w:t>Iowa Peace Officers’ Retirement, Accident and Disability System</w:t>
      </w:r>
    </w:p>
    <w:p w:rsidR="003A46B7" w:rsidRPr="00D04838" w:rsidRDefault="003A46B7" w:rsidP="003A46B7">
      <w:pPr>
        <w:jc w:val="center"/>
        <w:rPr>
          <w:rFonts w:ascii="Calibri" w:hAnsi="Calibri" w:cs="Calibri"/>
          <w:b/>
          <w:sz w:val="28"/>
        </w:rPr>
      </w:pPr>
      <w:r w:rsidRPr="00D04838">
        <w:rPr>
          <w:rFonts w:ascii="Calibri" w:hAnsi="Calibri" w:cs="Calibri"/>
          <w:b/>
          <w:sz w:val="28"/>
        </w:rPr>
        <w:t>Annual Report</w:t>
      </w:r>
    </w:p>
    <w:p w:rsidR="003A46B7" w:rsidRPr="00D04838" w:rsidRDefault="003A46B7" w:rsidP="003A46B7">
      <w:pPr>
        <w:jc w:val="center"/>
        <w:rPr>
          <w:rFonts w:ascii="Calibri" w:hAnsi="Calibri" w:cs="Calibri"/>
          <w:b/>
          <w:sz w:val="28"/>
        </w:rPr>
      </w:pPr>
      <w:r w:rsidRPr="00D04838">
        <w:rPr>
          <w:rFonts w:ascii="Calibri" w:hAnsi="Calibri" w:cs="Calibri"/>
          <w:b/>
          <w:sz w:val="28"/>
        </w:rPr>
        <w:t>On Iran Divestment</w:t>
      </w:r>
    </w:p>
    <w:p w:rsidR="003A46B7" w:rsidRPr="00D04838" w:rsidRDefault="003A46B7" w:rsidP="003A46B7">
      <w:pPr>
        <w:pStyle w:val="Heading1"/>
        <w:rPr>
          <w:rFonts w:ascii="Calibri" w:hAnsi="Calibri" w:cs="Calibri"/>
          <w:sz w:val="28"/>
          <w:szCs w:val="28"/>
        </w:rPr>
      </w:pPr>
      <w:r w:rsidRPr="00D04838">
        <w:rPr>
          <w:rFonts w:ascii="Calibri" w:hAnsi="Calibri" w:cs="Calibri"/>
          <w:sz w:val="28"/>
          <w:szCs w:val="28"/>
        </w:rPr>
        <w:t>For The Fiscal Year Ended June 30, 201</w:t>
      </w:r>
      <w:r>
        <w:rPr>
          <w:rFonts w:ascii="Calibri" w:hAnsi="Calibri" w:cs="Calibri"/>
          <w:sz w:val="28"/>
          <w:szCs w:val="28"/>
        </w:rPr>
        <w:t>3</w:t>
      </w:r>
    </w:p>
    <w:p w:rsidR="003A46B7" w:rsidRPr="00D04838" w:rsidRDefault="003A46B7" w:rsidP="003A46B7">
      <w:pPr>
        <w:jc w:val="center"/>
        <w:rPr>
          <w:rFonts w:ascii="Calibri" w:hAnsi="Calibri" w:cs="Calibri"/>
          <w:b/>
          <w:sz w:val="22"/>
        </w:rPr>
      </w:pPr>
    </w:p>
    <w:p w:rsidR="003A46B7" w:rsidRPr="00D04838" w:rsidRDefault="003A46B7" w:rsidP="003A46B7">
      <w:pPr>
        <w:pStyle w:val="Heading2"/>
        <w:rPr>
          <w:rFonts w:ascii="Calibri" w:hAnsi="Calibri" w:cs="Calibri"/>
          <w:b/>
          <w:sz w:val="22"/>
          <w:szCs w:val="22"/>
        </w:rPr>
      </w:pPr>
      <w:r w:rsidRPr="00D04838">
        <w:rPr>
          <w:rFonts w:ascii="Calibri" w:hAnsi="Calibri" w:cs="Calibri"/>
          <w:b/>
          <w:sz w:val="22"/>
          <w:szCs w:val="22"/>
        </w:rPr>
        <w:t>Purpose</w:t>
      </w:r>
    </w:p>
    <w:p w:rsidR="003A46B7" w:rsidRPr="00D04838" w:rsidRDefault="003A46B7" w:rsidP="003A46B7">
      <w:pPr>
        <w:pStyle w:val="Heading2"/>
        <w:rPr>
          <w:rFonts w:ascii="Calibri" w:hAnsi="Calibri" w:cs="Calibri"/>
          <w:sz w:val="22"/>
          <w:szCs w:val="22"/>
        </w:rPr>
      </w:pPr>
      <w:r w:rsidRPr="00D04838">
        <w:rPr>
          <w:rFonts w:ascii="Calibri" w:hAnsi="Calibri" w:cs="Calibri"/>
          <w:sz w:val="22"/>
          <w:szCs w:val="22"/>
        </w:rPr>
        <w:t xml:space="preserve">This is the </w:t>
      </w:r>
      <w:r>
        <w:rPr>
          <w:rFonts w:ascii="Calibri" w:hAnsi="Calibri" w:cs="Calibri"/>
          <w:sz w:val="22"/>
          <w:szCs w:val="22"/>
        </w:rPr>
        <w:t>second</w:t>
      </w:r>
      <w:r w:rsidRPr="00D04838">
        <w:rPr>
          <w:rFonts w:ascii="Calibri" w:hAnsi="Calibri" w:cs="Calibri"/>
          <w:sz w:val="22"/>
          <w:szCs w:val="22"/>
        </w:rPr>
        <w:t xml:space="preserve"> annual report required by Iowa Code Chapter 12H regarding restrictions on Iran-related investments by the Iowa Peace Officers’ Retirement, Accident and Disability System (PORS).  In response to the support that Iran has provided for acts of international terrorism, the General Assembly passed HF484, which places restrictions on investments in certain companies that have active business operations in Iran.  Effective beginning March 1, 2012, this law intends for state funds not to be invested in companies that provide power production-related services, mineral extraction activities, oil-related activities, or military equipment to the government of Iran.</w:t>
      </w:r>
    </w:p>
    <w:p w:rsidR="003A46B7" w:rsidRPr="00D04838" w:rsidRDefault="003A46B7" w:rsidP="003A46B7">
      <w:pPr>
        <w:rPr>
          <w:rFonts w:ascii="Calibri" w:hAnsi="Calibri" w:cs="Calibri"/>
          <w:sz w:val="22"/>
          <w:szCs w:val="22"/>
        </w:rPr>
      </w:pPr>
    </w:p>
    <w:p w:rsidR="003A46B7" w:rsidRPr="00D04838" w:rsidRDefault="003A46B7" w:rsidP="003A46B7">
      <w:pPr>
        <w:pStyle w:val="Heading2"/>
        <w:rPr>
          <w:rFonts w:ascii="Calibri" w:hAnsi="Calibri" w:cs="Calibri"/>
          <w:sz w:val="22"/>
          <w:szCs w:val="22"/>
        </w:rPr>
      </w:pPr>
      <w:r w:rsidRPr="00D04838">
        <w:rPr>
          <w:rFonts w:ascii="Calibri" w:hAnsi="Calibri" w:cs="Calibri"/>
          <w:sz w:val="22"/>
          <w:szCs w:val="22"/>
        </w:rPr>
        <w:t>Chapter 12H applies to PORS in the following ways:</w:t>
      </w:r>
    </w:p>
    <w:p w:rsidR="003A46B7" w:rsidRPr="00D04838" w:rsidRDefault="003A46B7" w:rsidP="003A46B7">
      <w:pPr>
        <w:pStyle w:val="Heading2"/>
        <w:ind w:left="720" w:right="720"/>
        <w:rPr>
          <w:rFonts w:ascii="Calibri" w:hAnsi="Calibri" w:cs="Calibri"/>
          <w:sz w:val="22"/>
          <w:szCs w:val="22"/>
        </w:rPr>
      </w:pPr>
    </w:p>
    <w:p w:rsidR="003A46B7" w:rsidRPr="00D04838" w:rsidRDefault="003A46B7" w:rsidP="003A46B7">
      <w:pPr>
        <w:pStyle w:val="Heading2"/>
        <w:ind w:left="720" w:right="720"/>
        <w:rPr>
          <w:rFonts w:ascii="Calibri" w:hAnsi="Calibri" w:cs="Calibri"/>
          <w:color w:val="191919"/>
          <w:sz w:val="22"/>
          <w:szCs w:val="22"/>
        </w:rPr>
      </w:pPr>
      <w:r w:rsidRPr="00D04838">
        <w:rPr>
          <w:rFonts w:ascii="Calibri" w:hAnsi="Calibri" w:cs="Calibri"/>
          <w:sz w:val="22"/>
          <w:szCs w:val="22"/>
        </w:rPr>
        <w:t xml:space="preserve">The system must identify and make available to the public a quarterly updated list of scrutinized companies, which have active or inactive business operations in Iran.  PORS </w:t>
      </w:r>
      <w:r w:rsidRPr="00D04838">
        <w:rPr>
          <w:rFonts w:ascii="Calibri" w:hAnsi="Calibri" w:cs="Calibri"/>
          <w:color w:val="191919"/>
          <w:sz w:val="22"/>
          <w:szCs w:val="22"/>
        </w:rPr>
        <w:t>uses the research services of IW Financial, Inc. to assist in developing the list of scrutinized companies to comply with this requirement.</w:t>
      </w:r>
    </w:p>
    <w:p w:rsidR="003A46B7" w:rsidRPr="00580189" w:rsidRDefault="003A46B7" w:rsidP="003A46B7"/>
    <w:p w:rsidR="003A46B7" w:rsidRPr="00D04838" w:rsidRDefault="003A46B7" w:rsidP="003A46B7">
      <w:pPr>
        <w:pStyle w:val="Heading2"/>
        <w:ind w:left="720" w:right="720"/>
        <w:rPr>
          <w:rFonts w:ascii="Calibri" w:hAnsi="Calibri" w:cs="Calibri"/>
          <w:sz w:val="22"/>
          <w:szCs w:val="22"/>
        </w:rPr>
      </w:pPr>
      <w:r w:rsidRPr="00D04838">
        <w:rPr>
          <w:rFonts w:ascii="Calibri" w:hAnsi="Calibri" w:cs="Calibri"/>
          <w:sz w:val="22"/>
          <w:szCs w:val="22"/>
        </w:rPr>
        <w:t>PORS is prohibited from directly investing in scrutinized companies with active business operations listed on the most current q</w:t>
      </w:r>
      <w:r>
        <w:rPr>
          <w:rFonts w:ascii="Calibri" w:hAnsi="Calibri" w:cs="Calibri"/>
          <w:sz w:val="22"/>
          <w:szCs w:val="22"/>
        </w:rPr>
        <w:t>uarterly list.  The fund was</w:t>
      </w:r>
      <w:r w:rsidRPr="00D04838">
        <w:rPr>
          <w:rFonts w:ascii="Calibri" w:hAnsi="Calibri" w:cs="Calibri"/>
          <w:sz w:val="22"/>
          <w:szCs w:val="22"/>
        </w:rPr>
        <w:t xml:space="preserve"> required to divest from any company with active business operations that were directly held by the fund as of March 1, 2012</w:t>
      </w:r>
      <w:r>
        <w:rPr>
          <w:rFonts w:ascii="Calibri" w:hAnsi="Calibri" w:cs="Calibri"/>
          <w:sz w:val="22"/>
          <w:szCs w:val="22"/>
        </w:rPr>
        <w:t>,</w:t>
      </w:r>
      <w:r w:rsidRPr="00D04838">
        <w:rPr>
          <w:rFonts w:ascii="Calibri" w:hAnsi="Calibri" w:cs="Calibri"/>
          <w:sz w:val="22"/>
          <w:szCs w:val="22"/>
        </w:rPr>
        <w:t xml:space="preserve"> after sending written notification to the company.</w:t>
      </w:r>
    </w:p>
    <w:p w:rsidR="003A46B7" w:rsidRPr="00D04838" w:rsidRDefault="003A46B7" w:rsidP="003A46B7">
      <w:pPr>
        <w:rPr>
          <w:rFonts w:ascii="Calibri" w:hAnsi="Calibri" w:cs="Calibri"/>
          <w:sz w:val="22"/>
          <w:szCs w:val="22"/>
        </w:rPr>
      </w:pPr>
    </w:p>
    <w:p w:rsidR="003A46B7" w:rsidRPr="00D04838" w:rsidRDefault="003A46B7" w:rsidP="003A46B7">
      <w:pPr>
        <w:pStyle w:val="BlockText"/>
        <w:rPr>
          <w:rFonts w:ascii="Calibri" w:hAnsi="Calibri" w:cs="Calibri"/>
          <w:sz w:val="22"/>
          <w:szCs w:val="22"/>
        </w:rPr>
      </w:pPr>
      <w:r w:rsidRPr="00D04838">
        <w:rPr>
          <w:rFonts w:ascii="Calibri" w:hAnsi="Calibri" w:cs="Calibri"/>
          <w:sz w:val="22"/>
          <w:szCs w:val="22"/>
        </w:rPr>
        <w:t>Any company owned indirectly through a fund is not subject to divestment, but still requires that PORS send written notification.  Further, PORS is required to send written correspondence to the investment managers of funds with scrutinized company holdings urging the managers to divest of the scrutinized companies or start a separate fund free of Iran-related holdings.</w:t>
      </w:r>
    </w:p>
    <w:p w:rsidR="003A46B7" w:rsidRPr="00D04838" w:rsidRDefault="003A46B7" w:rsidP="003A46B7">
      <w:pPr>
        <w:pStyle w:val="BlockText"/>
        <w:rPr>
          <w:rFonts w:ascii="Calibri" w:hAnsi="Calibri" w:cs="Calibri"/>
          <w:sz w:val="22"/>
          <w:szCs w:val="22"/>
        </w:rPr>
      </w:pPr>
    </w:p>
    <w:p w:rsidR="003A46B7" w:rsidRPr="00D04838" w:rsidRDefault="003A46B7" w:rsidP="003A46B7">
      <w:pPr>
        <w:pStyle w:val="BlockText"/>
        <w:ind w:left="0" w:right="0"/>
        <w:rPr>
          <w:rFonts w:ascii="Calibri" w:hAnsi="Calibri" w:cs="Calibri"/>
          <w:b/>
          <w:sz w:val="22"/>
          <w:szCs w:val="22"/>
        </w:rPr>
      </w:pPr>
      <w:r w:rsidRPr="00D04838">
        <w:rPr>
          <w:rFonts w:ascii="Calibri" w:hAnsi="Calibri" w:cs="Calibri"/>
          <w:b/>
          <w:sz w:val="22"/>
          <w:szCs w:val="22"/>
        </w:rPr>
        <w:t>Scrutinized Companies List</w:t>
      </w:r>
    </w:p>
    <w:p w:rsidR="003A46B7" w:rsidRPr="00D04838" w:rsidRDefault="003A46B7" w:rsidP="003A46B7">
      <w:pPr>
        <w:pStyle w:val="BlockText"/>
        <w:ind w:left="0" w:right="0"/>
        <w:rPr>
          <w:rFonts w:ascii="Calibri" w:hAnsi="Calibri" w:cs="Calibri"/>
          <w:sz w:val="22"/>
          <w:szCs w:val="22"/>
        </w:rPr>
      </w:pPr>
      <w:r w:rsidRPr="00D04838">
        <w:rPr>
          <w:rFonts w:ascii="Calibri" w:hAnsi="Calibri" w:cs="Calibri"/>
          <w:sz w:val="22"/>
          <w:szCs w:val="22"/>
        </w:rPr>
        <w:t>PORS’ FY 201</w:t>
      </w:r>
      <w:r>
        <w:rPr>
          <w:rFonts w:ascii="Calibri" w:hAnsi="Calibri" w:cs="Calibri"/>
          <w:sz w:val="22"/>
          <w:szCs w:val="22"/>
        </w:rPr>
        <w:t>3</w:t>
      </w:r>
      <w:r w:rsidRPr="00D04838">
        <w:rPr>
          <w:rFonts w:ascii="Calibri" w:hAnsi="Calibri" w:cs="Calibri"/>
          <w:sz w:val="22"/>
          <w:szCs w:val="22"/>
        </w:rPr>
        <w:t xml:space="preserve"> quarterly scrutinized </w:t>
      </w:r>
      <w:r>
        <w:rPr>
          <w:rFonts w:ascii="Calibri" w:hAnsi="Calibri" w:cs="Calibri"/>
          <w:sz w:val="22"/>
          <w:szCs w:val="22"/>
        </w:rPr>
        <w:t>company</w:t>
      </w:r>
      <w:r w:rsidRPr="00D04838">
        <w:rPr>
          <w:rFonts w:ascii="Calibri" w:hAnsi="Calibri" w:cs="Calibri"/>
          <w:sz w:val="22"/>
          <w:szCs w:val="22"/>
        </w:rPr>
        <w:t xml:space="preserve"> list is attached.  As of June 30, 201</w:t>
      </w:r>
      <w:r>
        <w:rPr>
          <w:rFonts w:ascii="Calibri" w:hAnsi="Calibri" w:cs="Calibri"/>
          <w:sz w:val="22"/>
          <w:szCs w:val="22"/>
        </w:rPr>
        <w:t>3</w:t>
      </w:r>
      <w:r w:rsidRPr="00D04838">
        <w:rPr>
          <w:rFonts w:ascii="Calibri" w:hAnsi="Calibri" w:cs="Calibri"/>
          <w:sz w:val="22"/>
          <w:szCs w:val="22"/>
        </w:rPr>
        <w:t>, PORS ha</w:t>
      </w:r>
      <w:r>
        <w:rPr>
          <w:rFonts w:ascii="Calibri" w:hAnsi="Calibri" w:cs="Calibri"/>
          <w:sz w:val="22"/>
          <w:szCs w:val="22"/>
        </w:rPr>
        <w:t xml:space="preserve">s </w:t>
      </w:r>
      <w:r w:rsidRPr="00D04838">
        <w:rPr>
          <w:rFonts w:ascii="Calibri" w:hAnsi="Calibri" w:cs="Calibri"/>
          <w:sz w:val="22"/>
          <w:szCs w:val="22"/>
        </w:rPr>
        <w:t xml:space="preserve">an indirect holding in </w:t>
      </w:r>
      <w:r>
        <w:rPr>
          <w:rFonts w:ascii="Calibri" w:hAnsi="Calibri" w:cs="Calibri"/>
          <w:sz w:val="22"/>
          <w:szCs w:val="22"/>
        </w:rPr>
        <w:t>Gas Natural SDG</w:t>
      </w:r>
      <w:r w:rsidRPr="00D04838">
        <w:rPr>
          <w:rFonts w:ascii="Calibri" w:hAnsi="Calibri" w:cs="Calibri"/>
          <w:sz w:val="22"/>
          <w:szCs w:val="22"/>
        </w:rPr>
        <w:t xml:space="preserve"> th</w:t>
      </w:r>
      <w:r>
        <w:rPr>
          <w:rFonts w:ascii="Calibri" w:hAnsi="Calibri" w:cs="Calibri"/>
          <w:sz w:val="22"/>
          <w:szCs w:val="22"/>
        </w:rPr>
        <w:t>r</w:t>
      </w:r>
      <w:r w:rsidRPr="00D04838">
        <w:rPr>
          <w:rFonts w:ascii="Calibri" w:hAnsi="Calibri" w:cs="Calibri"/>
          <w:sz w:val="22"/>
          <w:szCs w:val="22"/>
        </w:rPr>
        <w:t xml:space="preserve">ough an </w:t>
      </w:r>
      <w:r>
        <w:rPr>
          <w:rFonts w:ascii="Calibri" w:hAnsi="Calibri" w:cs="Calibri"/>
          <w:sz w:val="22"/>
          <w:szCs w:val="22"/>
        </w:rPr>
        <w:t>exchange traded fund</w:t>
      </w:r>
      <w:r w:rsidRPr="00D04838">
        <w:rPr>
          <w:rFonts w:ascii="Calibri" w:hAnsi="Calibri" w:cs="Calibri"/>
          <w:sz w:val="22"/>
          <w:szCs w:val="22"/>
        </w:rPr>
        <w:t xml:space="preserve">. PORS did not directly hold any companies </w:t>
      </w:r>
      <w:r>
        <w:rPr>
          <w:rFonts w:ascii="Calibri" w:hAnsi="Calibri" w:cs="Calibri"/>
          <w:sz w:val="22"/>
          <w:szCs w:val="22"/>
        </w:rPr>
        <w:t>on</w:t>
      </w:r>
      <w:r w:rsidRPr="00D04838">
        <w:rPr>
          <w:rFonts w:ascii="Calibri" w:hAnsi="Calibri" w:cs="Calibri"/>
          <w:sz w:val="22"/>
          <w:szCs w:val="22"/>
        </w:rPr>
        <w:t xml:space="preserve"> the quarterly divestment list.</w:t>
      </w:r>
    </w:p>
    <w:p w:rsidR="003A46B7" w:rsidRPr="00D04838" w:rsidRDefault="003A46B7" w:rsidP="003A46B7">
      <w:pPr>
        <w:pStyle w:val="BlockText"/>
        <w:ind w:left="0" w:right="0"/>
        <w:rPr>
          <w:rFonts w:ascii="Calibri" w:hAnsi="Calibri" w:cs="Calibri"/>
          <w:sz w:val="22"/>
          <w:szCs w:val="22"/>
        </w:rPr>
      </w:pPr>
    </w:p>
    <w:p w:rsidR="003A46B7" w:rsidRPr="00D04838" w:rsidRDefault="003A46B7" w:rsidP="003A46B7">
      <w:pPr>
        <w:pStyle w:val="BlockText"/>
        <w:ind w:left="0" w:right="0"/>
        <w:rPr>
          <w:rFonts w:ascii="Calibri" w:hAnsi="Calibri" w:cs="Calibri"/>
          <w:sz w:val="22"/>
          <w:szCs w:val="22"/>
        </w:rPr>
      </w:pPr>
      <w:r w:rsidRPr="00D04838">
        <w:rPr>
          <w:rFonts w:ascii="Calibri" w:hAnsi="Calibri" w:cs="Calibri"/>
          <w:b/>
          <w:sz w:val="22"/>
          <w:szCs w:val="22"/>
        </w:rPr>
        <w:t>Written Notices</w:t>
      </w:r>
    </w:p>
    <w:p w:rsidR="003A46B7" w:rsidRPr="00D04838" w:rsidRDefault="003A46B7" w:rsidP="003A46B7">
      <w:pPr>
        <w:pStyle w:val="BlockText"/>
        <w:ind w:left="0" w:right="0"/>
        <w:rPr>
          <w:rFonts w:ascii="Calibri" w:hAnsi="Calibri" w:cs="Calibri"/>
          <w:sz w:val="22"/>
          <w:szCs w:val="22"/>
        </w:rPr>
      </w:pPr>
      <w:r w:rsidRPr="00D04838">
        <w:rPr>
          <w:rFonts w:ascii="Calibri" w:hAnsi="Calibri" w:cs="Calibri"/>
          <w:sz w:val="22"/>
          <w:szCs w:val="22"/>
        </w:rPr>
        <w:t>During the year, PORS had</w:t>
      </w:r>
      <w:r>
        <w:rPr>
          <w:rFonts w:ascii="Calibri" w:hAnsi="Calibri" w:cs="Calibri"/>
          <w:sz w:val="22"/>
          <w:szCs w:val="22"/>
        </w:rPr>
        <w:t xml:space="preserve"> an indirect holding</w:t>
      </w:r>
      <w:r w:rsidRPr="00D04838">
        <w:rPr>
          <w:rFonts w:ascii="Calibri" w:hAnsi="Calibri" w:cs="Calibri"/>
          <w:sz w:val="22"/>
          <w:szCs w:val="22"/>
        </w:rPr>
        <w:t xml:space="preserve"> in </w:t>
      </w:r>
      <w:r>
        <w:rPr>
          <w:rFonts w:ascii="Calibri" w:hAnsi="Calibri" w:cs="Calibri"/>
          <w:sz w:val="22"/>
          <w:szCs w:val="22"/>
        </w:rPr>
        <w:t xml:space="preserve">Gas Natural SDG. </w:t>
      </w:r>
      <w:r w:rsidRPr="00D04838">
        <w:rPr>
          <w:rFonts w:ascii="Calibri" w:hAnsi="Calibri" w:cs="Calibri"/>
          <w:sz w:val="22"/>
          <w:szCs w:val="22"/>
        </w:rPr>
        <w:t xml:space="preserve">As per the requirements of the law, PORS sent </w:t>
      </w:r>
      <w:r>
        <w:rPr>
          <w:rFonts w:ascii="Calibri" w:hAnsi="Calibri" w:cs="Calibri"/>
          <w:sz w:val="22"/>
          <w:szCs w:val="22"/>
        </w:rPr>
        <w:t xml:space="preserve">a </w:t>
      </w:r>
      <w:r w:rsidRPr="00D04838">
        <w:rPr>
          <w:rFonts w:ascii="Calibri" w:hAnsi="Calibri" w:cs="Calibri"/>
          <w:sz w:val="22"/>
          <w:szCs w:val="22"/>
        </w:rPr>
        <w:t>letter</w:t>
      </w:r>
      <w:r>
        <w:rPr>
          <w:rFonts w:ascii="Calibri" w:hAnsi="Calibri" w:cs="Calibri"/>
          <w:sz w:val="22"/>
          <w:szCs w:val="22"/>
        </w:rPr>
        <w:t xml:space="preserve"> </w:t>
      </w:r>
      <w:r w:rsidRPr="00D04838">
        <w:rPr>
          <w:rFonts w:ascii="Calibri" w:hAnsi="Calibri" w:cs="Calibri"/>
          <w:sz w:val="22"/>
          <w:szCs w:val="22"/>
        </w:rPr>
        <w:t xml:space="preserve">to </w:t>
      </w:r>
      <w:r>
        <w:rPr>
          <w:rFonts w:ascii="Calibri" w:hAnsi="Calibri" w:cs="Calibri"/>
          <w:sz w:val="22"/>
          <w:szCs w:val="22"/>
        </w:rPr>
        <w:t>Gas Natural SDG</w:t>
      </w:r>
      <w:r w:rsidRPr="00F83970">
        <w:rPr>
          <w:rFonts w:ascii="Calibri" w:hAnsi="Calibri" w:cs="Calibri"/>
          <w:sz w:val="22"/>
          <w:szCs w:val="22"/>
        </w:rPr>
        <w:t xml:space="preserve"> </w:t>
      </w:r>
      <w:r w:rsidRPr="00D04838">
        <w:rPr>
          <w:rFonts w:ascii="Calibri" w:hAnsi="Calibri" w:cs="Calibri"/>
          <w:sz w:val="22"/>
          <w:szCs w:val="22"/>
        </w:rPr>
        <w:t>urging them to cease all active business operations in the country of Iran.</w:t>
      </w:r>
    </w:p>
    <w:p w:rsidR="003A46B7" w:rsidRPr="00D04838" w:rsidRDefault="003A46B7" w:rsidP="003A46B7">
      <w:pPr>
        <w:pStyle w:val="BlockText"/>
        <w:ind w:left="0" w:right="0"/>
        <w:rPr>
          <w:rFonts w:ascii="Calibri" w:hAnsi="Calibri" w:cs="Calibri"/>
          <w:sz w:val="22"/>
          <w:szCs w:val="22"/>
        </w:rPr>
      </w:pPr>
    </w:p>
    <w:p w:rsidR="003A46B7" w:rsidRPr="00D04838" w:rsidRDefault="003A46B7" w:rsidP="003A46B7">
      <w:pPr>
        <w:pStyle w:val="BlockText"/>
        <w:ind w:left="0" w:right="0"/>
        <w:rPr>
          <w:rFonts w:ascii="Calibri" w:hAnsi="Calibri" w:cs="Calibri"/>
          <w:sz w:val="22"/>
          <w:szCs w:val="22"/>
        </w:rPr>
      </w:pPr>
      <w:r w:rsidRPr="00D04838">
        <w:rPr>
          <w:rFonts w:ascii="Calibri" w:hAnsi="Calibri" w:cs="Calibri"/>
          <w:sz w:val="22"/>
          <w:szCs w:val="22"/>
        </w:rPr>
        <w:t xml:space="preserve">A letter was also sent to </w:t>
      </w:r>
      <w:r>
        <w:rPr>
          <w:rFonts w:ascii="Calibri" w:hAnsi="Calibri" w:cs="Calibri"/>
          <w:sz w:val="22"/>
          <w:szCs w:val="22"/>
        </w:rPr>
        <w:t>Vanguard</w:t>
      </w:r>
      <w:r w:rsidRPr="00D04838">
        <w:rPr>
          <w:rFonts w:ascii="Calibri" w:hAnsi="Calibri" w:cs="Calibri"/>
          <w:sz w:val="22"/>
          <w:szCs w:val="22"/>
        </w:rPr>
        <w:t xml:space="preserve">, notifying them </w:t>
      </w:r>
      <w:r>
        <w:rPr>
          <w:rFonts w:ascii="Calibri" w:hAnsi="Calibri" w:cs="Calibri"/>
          <w:sz w:val="22"/>
          <w:szCs w:val="22"/>
        </w:rPr>
        <w:t>that their exchange traded fund had exposure to a scrutinized company (Gas Natural SDG)</w:t>
      </w:r>
      <w:r w:rsidRPr="00D04838">
        <w:rPr>
          <w:rFonts w:ascii="Calibri" w:hAnsi="Calibri" w:cs="Calibri"/>
          <w:sz w:val="22"/>
          <w:szCs w:val="22"/>
        </w:rPr>
        <w:t xml:space="preserve">. </w:t>
      </w:r>
      <w:r>
        <w:rPr>
          <w:rFonts w:ascii="Calibri" w:hAnsi="Calibri" w:cs="Calibri"/>
          <w:sz w:val="22"/>
          <w:szCs w:val="22"/>
        </w:rPr>
        <w:t>Vanguard was</w:t>
      </w:r>
      <w:r w:rsidRPr="00D04838">
        <w:rPr>
          <w:rFonts w:ascii="Calibri" w:hAnsi="Calibri" w:cs="Calibri"/>
          <w:sz w:val="22"/>
          <w:szCs w:val="22"/>
        </w:rPr>
        <w:t xml:space="preserve"> urged to divest of </w:t>
      </w:r>
      <w:r>
        <w:rPr>
          <w:rFonts w:ascii="Calibri" w:hAnsi="Calibri" w:cs="Calibri"/>
          <w:sz w:val="22"/>
          <w:szCs w:val="22"/>
        </w:rPr>
        <w:t>this company</w:t>
      </w:r>
      <w:r w:rsidRPr="00F83970">
        <w:rPr>
          <w:rFonts w:ascii="Calibri" w:hAnsi="Calibri" w:cs="Calibri"/>
          <w:sz w:val="22"/>
          <w:szCs w:val="22"/>
        </w:rPr>
        <w:t xml:space="preserve"> </w:t>
      </w:r>
      <w:r w:rsidRPr="00D04838">
        <w:rPr>
          <w:rFonts w:ascii="Calibri" w:hAnsi="Calibri" w:cs="Calibri"/>
          <w:sz w:val="22"/>
          <w:szCs w:val="22"/>
        </w:rPr>
        <w:t>or start a separate fund that PORS could invest in that would be free of any Iran-related investments.</w:t>
      </w:r>
    </w:p>
    <w:p w:rsidR="003A46B7" w:rsidRPr="00D04838" w:rsidRDefault="003A46B7" w:rsidP="003A46B7">
      <w:pPr>
        <w:pStyle w:val="BlockText"/>
        <w:ind w:left="0" w:right="0"/>
        <w:rPr>
          <w:rFonts w:ascii="Calibri" w:hAnsi="Calibri" w:cs="Calibri"/>
          <w:sz w:val="22"/>
          <w:szCs w:val="22"/>
        </w:rPr>
      </w:pPr>
    </w:p>
    <w:p w:rsidR="003A46B7" w:rsidRPr="00D04838" w:rsidRDefault="003A46B7" w:rsidP="003A46B7">
      <w:pPr>
        <w:pStyle w:val="BlockText"/>
        <w:ind w:left="0" w:right="0"/>
        <w:rPr>
          <w:rFonts w:ascii="Calibri" w:hAnsi="Calibri" w:cs="Calibri"/>
          <w:sz w:val="22"/>
          <w:szCs w:val="22"/>
        </w:rPr>
      </w:pPr>
      <w:r w:rsidRPr="00D04838">
        <w:rPr>
          <w:rFonts w:ascii="Calibri" w:hAnsi="Calibri" w:cs="Calibri"/>
          <w:b/>
          <w:sz w:val="22"/>
          <w:szCs w:val="22"/>
        </w:rPr>
        <w:t>Divestment</w:t>
      </w:r>
    </w:p>
    <w:p w:rsidR="003A46B7" w:rsidRPr="00D04838" w:rsidRDefault="003A46B7" w:rsidP="003A46B7">
      <w:pPr>
        <w:pStyle w:val="BlockText"/>
        <w:ind w:left="0" w:right="0"/>
        <w:rPr>
          <w:rFonts w:ascii="Calibri" w:hAnsi="Calibri" w:cs="Calibri"/>
          <w:sz w:val="22"/>
          <w:szCs w:val="22"/>
        </w:rPr>
      </w:pPr>
      <w:r w:rsidRPr="00D04838">
        <w:rPr>
          <w:rFonts w:ascii="Calibri" w:hAnsi="Calibri" w:cs="Calibri"/>
          <w:sz w:val="22"/>
          <w:szCs w:val="22"/>
        </w:rPr>
        <w:lastRenderedPageBreak/>
        <w:t>As PORS did not have any direct holdings of scrutinized companies, no divestment was required.  Indirect investments do not require divestment.</w:t>
      </w:r>
    </w:p>
    <w:p w:rsidR="003A46B7" w:rsidRPr="00D04838" w:rsidRDefault="003A46B7" w:rsidP="003A46B7">
      <w:pPr>
        <w:pStyle w:val="BlockText"/>
        <w:ind w:left="0" w:right="0"/>
        <w:rPr>
          <w:rFonts w:ascii="Calibri" w:hAnsi="Calibri" w:cs="Calibri"/>
          <w:sz w:val="22"/>
          <w:szCs w:val="22"/>
        </w:rPr>
      </w:pPr>
    </w:p>
    <w:p w:rsidR="003A46B7" w:rsidRPr="00D04838" w:rsidRDefault="003A46B7" w:rsidP="003A46B7">
      <w:pPr>
        <w:pStyle w:val="BlockText"/>
        <w:ind w:left="0" w:right="0"/>
        <w:rPr>
          <w:rFonts w:ascii="Calibri" w:hAnsi="Calibri" w:cs="Calibri"/>
          <w:b/>
          <w:sz w:val="22"/>
          <w:szCs w:val="22"/>
        </w:rPr>
      </w:pPr>
      <w:r w:rsidRPr="00D04838">
        <w:rPr>
          <w:rFonts w:ascii="Calibri" w:hAnsi="Calibri" w:cs="Calibri"/>
          <w:b/>
          <w:sz w:val="22"/>
          <w:szCs w:val="22"/>
        </w:rPr>
        <w:t>Report Availability</w:t>
      </w:r>
    </w:p>
    <w:p w:rsidR="003A46B7" w:rsidRPr="00D04838" w:rsidRDefault="003A46B7" w:rsidP="003A46B7">
      <w:pPr>
        <w:pStyle w:val="BlockText"/>
        <w:ind w:left="0" w:right="0"/>
        <w:rPr>
          <w:rFonts w:ascii="Calibri" w:hAnsi="Calibri" w:cs="Calibri"/>
          <w:sz w:val="22"/>
          <w:szCs w:val="22"/>
        </w:rPr>
      </w:pPr>
      <w:r w:rsidRPr="00D04838">
        <w:rPr>
          <w:rFonts w:ascii="Calibri" w:hAnsi="Calibri" w:cs="Calibri"/>
          <w:sz w:val="22"/>
          <w:szCs w:val="22"/>
        </w:rPr>
        <w:t>This report, along with any other quarterly scrutinized company list can be obtained by contacting the Treasurer’s office at 515-281-8478 or jina.bresson@iowa.gov.</w:t>
      </w:r>
    </w:p>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Pr="001F3132" w:rsidRDefault="003A46B7" w:rsidP="003A46B7">
      <w:pPr>
        <w:pStyle w:val="Title"/>
        <w:rPr>
          <w:rFonts w:ascii="Calibri" w:hAnsi="Calibri" w:cs="Calibri"/>
        </w:rPr>
      </w:pPr>
      <w:smartTag w:uri="urn:schemas-microsoft-com:office:smarttags" w:element="State">
        <w:smartTag w:uri="urn:schemas-microsoft-com:office:smarttags" w:element="place">
          <w:r w:rsidRPr="001F3132">
            <w:rPr>
              <w:rFonts w:ascii="Calibri" w:hAnsi="Calibri" w:cs="Calibri"/>
            </w:rPr>
            <w:lastRenderedPageBreak/>
            <w:t>Iowa</w:t>
          </w:r>
        </w:smartTag>
      </w:smartTag>
      <w:r w:rsidRPr="001F3132">
        <w:rPr>
          <w:rFonts w:ascii="Calibri" w:hAnsi="Calibri" w:cs="Calibri"/>
        </w:rPr>
        <w:t xml:space="preserve"> Judicial Retirement System</w:t>
      </w:r>
    </w:p>
    <w:p w:rsidR="003A46B7" w:rsidRPr="005B6139" w:rsidRDefault="003A46B7" w:rsidP="003A46B7">
      <w:pPr>
        <w:jc w:val="center"/>
        <w:rPr>
          <w:rFonts w:ascii="Calibri" w:hAnsi="Calibri" w:cs="Calibri"/>
          <w:b/>
          <w:sz w:val="28"/>
        </w:rPr>
      </w:pPr>
      <w:r w:rsidRPr="005B6139">
        <w:rPr>
          <w:rFonts w:ascii="Calibri" w:hAnsi="Calibri" w:cs="Calibri"/>
          <w:b/>
          <w:sz w:val="28"/>
        </w:rPr>
        <w:t>Annual Report</w:t>
      </w:r>
    </w:p>
    <w:p w:rsidR="003A46B7" w:rsidRPr="005B6139" w:rsidRDefault="003A46B7" w:rsidP="003A46B7">
      <w:pPr>
        <w:jc w:val="center"/>
        <w:rPr>
          <w:rFonts w:ascii="Calibri" w:hAnsi="Calibri" w:cs="Calibri"/>
          <w:b/>
          <w:sz w:val="28"/>
        </w:rPr>
      </w:pPr>
      <w:r w:rsidRPr="005B6139">
        <w:rPr>
          <w:rFonts w:ascii="Calibri" w:hAnsi="Calibri" w:cs="Calibri"/>
          <w:b/>
          <w:sz w:val="28"/>
        </w:rPr>
        <w:t>On Iran Divestment</w:t>
      </w:r>
    </w:p>
    <w:p w:rsidR="003A46B7" w:rsidRPr="005B6139" w:rsidRDefault="003A46B7" w:rsidP="003A46B7">
      <w:pPr>
        <w:pStyle w:val="Heading1"/>
        <w:rPr>
          <w:rFonts w:ascii="Calibri" w:hAnsi="Calibri" w:cs="Calibri"/>
          <w:sz w:val="28"/>
          <w:szCs w:val="28"/>
        </w:rPr>
      </w:pPr>
      <w:r w:rsidRPr="005B6139">
        <w:rPr>
          <w:rFonts w:ascii="Calibri" w:hAnsi="Calibri" w:cs="Calibri"/>
          <w:sz w:val="28"/>
          <w:szCs w:val="28"/>
        </w:rPr>
        <w:t>For The Fiscal Year Ended June 30, 201</w:t>
      </w:r>
      <w:r>
        <w:rPr>
          <w:rFonts w:ascii="Calibri" w:hAnsi="Calibri" w:cs="Calibri"/>
          <w:sz w:val="28"/>
          <w:szCs w:val="28"/>
        </w:rPr>
        <w:t>3</w:t>
      </w:r>
    </w:p>
    <w:p w:rsidR="003A46B7" w:rsidRPr="005B6139" w:rsidRDefault="003A46B7" w:rsidP="003A46B7">
      <w:pPr>
        <w:jc w:val="center"/>
        <w:rPr>
          <w:rFonts w:ascii="Calibri" w:hAnsi="Calibri" w:cs="Calibri"/>
          <w:b/>
          <w:sz w:val="22"/>
        </w:rPr>
      </w:pPr>
    </w:p>
    <w:p w:rsidR="003A46B7" w:rsidRPr="005B6139" w:rsidRDefault="003A46B7" w:rsidP="003A46B7">
      <w:pPr>
        <w:pStyle w:val="Heading2"/>
        <w:rPr>
          <w:rFonts w:ascii="Calibri" w:hAnsi="Calibri" w:cs="Calibri"/>
          <w:b/>
          <w:sz w:val="22"/>
          <w:szCs w:val="22"/>
        </w:rPr>
      </w:pPr>
      <w:r w:rsidRPr="005B6139">
        <w:rPr>
          <w:rFonts w:ascii="Calibri" w:hAnsi="Calibri" w:cs="Calibri"/>
          <w:b/>
          <w:sz w:val="22"/>
          <w:szCs w:val="22"/>
        </w:rPr>
        <w:t>Purpose</w:t>
      </w:r>
    </w:p>
    <w:p w:rsidR="003A46B7" w:rsidRPr="005B6139" w:rsidRDefault="003A46B7" w:rsidP="003A46B7">
      <w:pPr>
        <w:pStyle w:val="Title"/>
        <w:jc w:val="left"/>
        <w:rPr>
          <w:rFonts w:ascii="Calibri" w:hAnsi="Calibri" w:cs="Calibri"/>
          <w:b w:val="0"/>
          <w:sz w:val="22"/>
          <w:szCs w:val="22"/>
        </w:rPr>
      </w:pPr>
      <w:r w:rsidRPr="005B6139">
        <w:rPr>
          <w:rFonts w:ascii="Calibri" w:hAnsi="Calibri" w:cs="Calibri"/>
          <w:b w:val="0"/>
          <w:sz w:val="22"/>
          <w:szCs w:val="22"/>
        </w:rPr>
        <w:t xml:space="preserve">This is the </w:t>
      </w:r>
      <w:r>
        <w:rPr>
          <w:rFonts w:ascii="Calibri" w:hAnsi="Calibri" w:cs="Calibri"/>
          <w:b w:val="0"/>
          <w:sz w:val="22"/>
          <w:szCs w:val="22"/>
        </w:rPr>
        <w:t>second</w:t>
      </w:r>
      <w:r w:rsidRPr="005B6139">
        <w:rPr>
          <w:rFonts w:ascii="Calibri" w:hAnsi="Calibri" w:cs="Calibri"/>
          <w:b w:val="0"/>
          <w:sz w:val="22"/>
          <w:szCs w:val="22"/>
        </w:rPr>
        <w:t xml:space="preserve"> annual report required by Iowa Code Chapter 12H regarding restrictions on Iran-related investments by the Iowa Judicial Retirement System (JRS).  In response to the support that Iran has provided for acts of international terrorism, the General Assembly passed HF484, which places restrictions on investments in certain companies that have active business operations in Iran.  Effective beginning March 1, 2012, this law intends for state funds not to be invested in companies that provide power production-related services, mineral extraction activities, oil-related activities, or military equipment to the government of Iran.</w:t>
      </w:r>
    </w:p>
    <w:p w:rsidR="003A46B7" w:rsidRPr="005B6139" w:rsidRDefault="003A46B7" w:rsidP="003A46B7">
      <w:pPr>
        <w:rPr>
          <w:rFonts w:ascii="Calibri" w:hAnsi="Calibri" w:cs="Calibri"/>
          <w:sz w:val="22"/>
          <w:szCs w:val="22"/>
        </w:rPr>
      </w:pPr>
    </w:p>
    <w:p w:rsidR="003A46B7" w:rsidRPr="005B6139" w:rsidRDefault="003A46B7" w:rsidP="003A46B7">
      <w:pPr>
        <w:pStyle w:val="Heading2"/>
        <w:rPr>
          <w:rFonts w:ascii="Calibri" w:hAnsi="Calibri" w:cs="Calibri"/>
          <w:sz w:val="22"/>
          <w:szCs w:val="22"/>
        </w:rPr>
      </w:pPr>
      <w:r w:rsidRPr="005B6139">
        <w:rPr>
          <w:rFonts w:ascii="Calibri" w:hAnsi="Calibri" w:cs="Calibri"/>
          <w:sz w:val="22"/>
          <w:szCs w:val="22"/>
        </w:rPr>
        <w:t>Chapter 12H applies to JRS in the following ways:</w:t>
      </w:r>
    </w:p>
    <w:p w:rsidR="003A46B7" w:rsidRPr="005B6139" w:rsidRDefault="003A46B7" w:rsidP="003A46B7">
      <w:pPr>
        <w:pStyle w:val="Heading2"/>
        <w:ind w:left="720" w:right="720"/>
        <w:rPr>
          <w:rFonts w:ascii="Calibri" w:hAnsi="Calibri" w:cs="Calibri"/>
          <w:sz w:val="22"/>
          <w:szCs w:val="22"/>
        </w:rPr>
      </w:pPr>
    </w:p>
    <w:p w:rsidR="003A46B7" w:rsidRPr="005B6139" w:rsidRDefault="003A46B7" w:rsidP="003A46B7">
      <w:pPr>
        <w:pStyle w:val="Heading2"/>
        <w:ind w:left="720" w:right="720"/>
        <w:rPr>
          <w:rFonts w:ascii="Calibri" w:hAnsi="Calibri" w:cs="Calibri"/>
          <w:color w:val="191919"/>
          <w:sz w:val="22"/>
          <w:szCs w:val="22"/>
        </w:rPr>
      </w:pPr>
      <w:r w:rsidRPr="005B6139">
        <w:rPr>
          <w:rFonts w:ascii="Calibri" w:hAnsi="Calibri" w:cs="Calibri"/>
          <w:sz w:val="22"/>
          <w:szCs w:val="22"/>
        </w:rPr>
        <w:t xml:space="preserve">The system must identify and make available to the public a quarterly updated list of scrutinized companies, which have active or inactive business operations in Iran.  JRS </w:t>
      </w:r>
      <w:r w:rsidRPr="005B6139">
        <w:rPr>
          <w:rFonts w:ascii="Calibri" w:hAnsi="Calibri" w:cs="Calibri"/>
          <w:color w:val="191919"/>
          <w:sz w:val="22"/>
          <w:szCs w:val="22"/>
        </w:rPr>
        <w:t>uses the research services of IW Financial, Inc. to assist in developing the list of scrutinized companies to comply with this requirement.</w:t>
      </w:r>
    </w:p>
    <w:p w:rsidR="003A46B7" w:rsidRPr="00580189" w:rsidRDefault="003A46B7" w:rsidP="003A46B7"/>
    <w:p w:rsidR="003A46B7" w:rsidRPr="005B6139" w:rsidRDefault="003A46B7" w:rsidP="003A46B7">
      <w:pPr>
        <w:pStyle w:val="Heading2"/>
        <w:ind w:left="720" w:right="720"/>
        <w:rPr>
          <w:rFonts w:ascii="Calibri" w:hAnsi="Calibri" w:cs="Calibri"/>
          <w:sz w:val="22"/>
          <w:szCs w:val="22"/>
        </w:rPr>
      </w:pPr>
      <w:r w:rsidRPr="005B6139">
        <w:rPr>
          <w:rFonts w:ascii="Calibri" w:hAnsi="Calibri" w:cs="Calibri"/>
          <w:sz w:val="22"/>
          <w:szCs w:val="22"/>
        </w:rPr>
        <w:t xml:space="preserve">JRS is prohibited from directly investing in scrutinized companies with active business operations listed on the most current quarterly list.  The fund </w:t>
      </w:r>
      <w:r>
        <w:rPr>
          <w:rFonts w:ascii="Calibri" w:hAnsi="Calibri" w:cs="Calibri"/>
          <w:sz w:val="22"/>
          <w:szCs w:val="22"/>
        </w:rPr>
        <w:t xml:space="preserve">was required to </w:t>
      </w:r>
      <w:r w:rsidRPr="005B6139">
        <w:rPr>
          <w:rFonts w:ascii="Calibri" w:hAnsi="Calibri" w:cs="Calibri"/>
          <w:sz w:val="22"/>
          <w:szCs w:val="22"/>
        </w:rPr>
        <w:t>divest from any company with active business operations that were directly held by the fund as of March 1, 2012</w:t>
      </w:r>
      <w:r>
        <w:rPr>
          <w:rFonts w:ascii="Calibri" w:hAnsi="Calibri" w:cs="Calibri"/>
          <w:sz w:val="22"/>
          <w:szCs w:val="22"/>
        </w:rPr>
        <w:t>,</w:t>
      </w:r>
      <w:r w:rsidRPr="005B6139">
        <w:rPr>
          <w:rFonts w:ascii="Calibri" w:hAnsi="Calibri" w:cs="Calibri"/>
          <w:sz w:val="22"/>
          <w:szCs w:val="22"/>
        </w:rPr>
        <w:t xml:space="preserve"> after sending written notification to the company.</w:t>
      </w:r>
    </w:p>
    <w:p w:rsidR="003A46B7" w:rsidRPr="005B6139" w:rsidRDefault="003A46B7" w:rsidP="003A46B7">
      <w:pPr>
        <w:rPr>
          <w:rFonts w:ascii="Calibri" w:hAnsi="Calibri" w:cs="Calibri"/>
          <w:sz w:val="22"/>
          <w:szCs w:val="22"/>
        </w:rPr>
      </w:pPr>
    </w:p>
    <w:p w:rsidR="003A46B7" w:rsidRPr="005B6139" w:rsidRDefault="003A46B7" w:rsidP="003A46B7">
      <w:pPr>
        <w:pStyle w:val="BlockText"/>
        <w:rPr>
          <w:rFonts w:ascii="Calibri" w:hAnsi="Calibri" w:cs="Calibri"/>
          <w:sz w:val="22"/>
          <w:szCs w:val="22"/>
        </w:rPr>
      </w:pPr>
      <w:r w:rsidRPr="005B6139">
        <w:rPr>
          <w:rFonts w:ascii="Calibri" w:hAnsi="Calibri" w:cs="Calibri"/>
          <w:sz w:val="22"/>
          <w:szCs w:val="22"/>
        </w:rPr>
        <w:t>Any company owned indirectly through a fund is not subject to divestment, but still requires that JRS send written notification.  Further, JRS is required to send written correspondence to the investment managers of funds with scrutinized company holdings urging the managers to divest of the scrutinized companies or start a separate fund free of Iran-related holdings.</w:t>
      </w:r>
    </w:p>
    <w:p w:rsidR="003A46B7" w:rsidRPr="005B6139" w:rsidRDefault="003A46B7" w:rsidP="003A46B7">
      <w:pPr>
        <w:pStyle w:val="BlockText"/>
        <w:rPr>
          <w:rFonts w:ascii="Calibri" w:hAnsi="Calibri" w:cs="Calibri"/>
          <w:sz w:val="22"/>
          <w:szCs w:val="22"/>
        </w:rPr>
      </w:pPr>
    </w:p>
    <w:p w:rsidR="003A46B7" w:rsidRPr="005B6139" w:rsidRDefault="003A46B7" w:rsidP="003A46B7">
      <w:pPr>
        <w:pStyle w:val="BlockText"/>
        <w:ind w:left="0" w:right="0"/>
        <w:rPr>
          <w:rFonts w:ascii="Calibri" w:hAnsi="Calibri" w:cs="Calibri"/>
          <w:b/>
          <w:sz w:val="22"/>
          <w:szCs w:val="22"/>
        </w:rPr>
      </w:pPr>
      <w:r w:rsidRPr="005B6139">
        <w:rPr>
          <w:rFonts w:ascii="Calibri" w:hAnsi="Calibri" w:cs="Calibri"/>
          <w:b/>
          <w:sz w:val="22"/>
          <w:szCs w:val="22"/>
        </w:rPr>
        <w:t>Scrutinized Companies List</w:t>
      </w:r>
    </w:p>
    <w:p w:rsidR="003A46B7" w:rsidRDefault="003A46B7" w:rsidP="003A46B7">
      <w:pPr>
        <w:pStyle w:val="BlockText"/>
        <w:ind w:left="0" w:right="0"/>
        <w:rPr>
          <w:rFonts w:ascii="Calibri" w:hAnsi="Calibri" w:cs="Calibri"/>
          <w:sz w:val="22"/>
          <w:szCs w:val="22"/>
        </w:rPr>
      </w:pPr>
      <w:r w:rsidRPr="005B6139">
        <w:rPr>
          <w:rFonts w:ascii="Calibri" w:hAnsi="Calibri" w:cs="Calibri"/>
          <w:sz w:val="22"/>
          <w:szCs w:val="22"/>
        </w:rPr>
        <w:t>JRS’ FY 201</w:t>
      </w:r>
      <w:r>
        <w:rPr>
          <w:rFonts w:ascii="Calibri" w:hAnsi="Calibri" w:cs="Calibri"/>
          <w:sz w:val="22"/>
          <w:szCs w:val="22"/>
        </w:rPr>
        <w:t>3</w:t>
      </w:r>
      <w:r w:rsidRPr="005B6139">
        <w:rPr>
          <w:rFonts w:ascii="Calibri" w:hAnsi="Calibri" w:cs="Calibri"/>
          <w:sz w:val="22"/>
          <w:szCs w:val="22"/>
        </w:rPr>
        <w:t xml:space="preserve"> quarterly scrutinized </w:t>
      </w:r>
      <w:r>
        <w:rPr>
          <w:rFonts w:ascii="Calibri" w:hAnsi="Calibri" w:cs="Calibri"/>
          <w:sz w:val="22"/>
          <w:szCs w:val="22"/>
        </w:rPr>
        <w:t>company</w:t>
      </w:r>
      <w:r w:rsidRPr="005B6139">
        <w:rPr>
          <w:rFonts w:ascii="Calibri" w:hAnsi="Calibri" w:cs="Calibri"/>
          <w:sz w:val="22"/>
          <w:szCs w:val="22"/>
        </w:rPr>
        <w:t xml:space="preserve"> list is attached.  </w:t>
      </w:r>
      <w:r w:rsidRPr="005422FC">
        <w:rPr>
          <w:rFonts w:ascii="Calibri" w:hAnsi="Calibri" w:cs="Calibri"/>
          <w:sz w:val="22"/>
          <w:szCs w:val="22"/>
        </w:rPr>
        <w:t>As of June 30, 201</w:t>
      </w:r>
      <w:r>
        <w:rPr>
          <w:rFonts w:ascii="Calibri" w:hAnsi="Calibri" w:cs="Calibri"/>
          <w:sz w:val="22"/>
          <w:szCs w:val="22"/>
        </w:rPr>
        <w:t>3</w:t>
      </w:r>
      <w:r w:rsidRPr="005422FC">
        <w:rPr>
          <w:rFonts w:ascii="Calibri" w:hAnsi="Calibri" w:cs="Calibri"/>
          <w:sz w:val="22"/>
          <w:szCs w:val="22"/>
        </w:rPr>
        <w:t xml:space="preserve"> </w:t>
      </w:r>
      <w:r>
        <w:rPr>
          <w:rFonts w:ascii="Calibri" w:hAnsi="Calibri" w:cs="Calibri"/>
          <w:sz w:val="22"/>
          <w:szCs w:val="22"/>
        </w:rPr>
        <w:t>JRS</w:t>
      </w:r>
      <w:r w:rsidRPr="005422FC">
        <w:rPr>
          <w:rFonts w:ascii="Calibri" w:hAnsi="Calibri" w:cs="Calibri"/>
          <w:sz w:val="22"/>
          <w:szCs w:val="22"/>
        </w:rPr>
        <w:t xml:space="preserve"> does not hold, either directly or indirectly, any companies on the </w:t>
      </w:r>
      <w:r>
        <w:rPr>
          <w:rFonts w:ascii="Calibri" w:hAnsi="Calibri" w:cs="Calibri"/>
          <w:sz w:val="22"/>
          <w:szCs w:val="22"/>
        </w:rPr>
        <w:t>list of scrutinized companies</w:t>
      </w:r>
      <w:r w:rsidRPr="005422FC">
        <w:rPr>
          <w:rFonts w:ascii="Calibri" w:hAnsi="Calibri" w:cs="Calibri"/>
          <w:sz w:val="22"/>
          <w:szCs w:val="22"/>
        </w:rPr>
        <w:t>.</w:t>
      </w:r>
    </w:p>
    <w:p w:rsidR="003A46B7" w:rsidRPr="005B6139" w:rsidRDefault="003A46B7" w:rsidP="003A46B7">
      <w:pPr>
        <w:pStyle w:val="BlockText"/>
        <w:tabs>
          <w:tab w:val="left" w:pos="7500"/>
        </w:tabs>
        <w:ind w:left="0" w:right="0"/>
        <w:rPr>
          <w:rFonts w:ascii="Calibri" w:hAnsi="Calibri" w:cs="Calibri"/>
          <w:sz w:val="22"/>
          <w:szCs w:val="22"/>
        </w:rPr>
      </w:pPr>
      <w:r w:rsidRPr="005B6139">
        <w:rPr>
          <w:rFonts w:ascii="Calibri" w:hAnsi="Calibri" w:cs="Calibri"/>
          <w:sz w:val="22"/>
          <w:szCs w:val="22"/>
        </w:rPr>
        <w:tab/>
      </w:r>
    </w:p>
    <w:p w:rsidR="003A46B7" w:rsidRPr="005B6139" w:rsidRDefault="003A46B7" w:rsidP="003A46B7">
      <w:pPr>
        <w:pStyle w:val="BlockText"/>
        <w:ind w:left="0" w:right="0"/>
        <w:rPr>
          <w:rFonts w:ascii="Calibri" w:hAnsi="Calibri" w:cs="Calibri"/>
          <w:sz w:val="22"/>
          <w:szCs w:val="22"/>
        </w:rPr>
      </w:pPr>
      <w:r w:rsidRPr="005B6139">
        <w:rPr>
          <w:rFonts w:ascii="Calibri" w:hAnsi="Calibri" w:cs="Calibri"/>
          <w:b/>
          <w:sz w:val="22"/>
          <w:szCs w:val="22"/>
        </w:rPr>
        <w:t>Written Notices</w:t>
      </w:r>
    </w:p>
    <w:p w:rsidR="003A46B7" w:rsidRPr="005B6139" w:rsidRDefault="003A46B7" w:rsidP="003A46B7">
      <w:pPr>
        <w:pStyle w:val="BlockText"/>
        <w:ind w:left="0" w:right="0"/>
        <w:rPr>
          <w:rFonts w:ascii="Calibri" w:hAnsi="Calibri" w:cs="Calibri"/>
          <w:sz w:val="22"/>
          <w:szCs w:val="22"/>
        </w:rPr>
      </w:pPr>
      <w:r w:rsidRPr="005B6139">
        <w:rPr>
          <w:rFonts w:ascii="Calibri" w:hAnsi="Calibri" w:cs="Calibri"/>
          <w:sz w:val="22"/>
          <w:szCs w:val="22"/>
        </w:rPr>
        <w:t xml:space="preserve">During the year, JRS had direct holdings in </w:t>
      </w:r>
      <w:r>
        <w:rPr>
          <w:rFonts w:ascii="Calibri" w:hAnsi="Calibri" w:cs="Calibri"/>
          <w:sz w:val="22"/>
          <w:szCs w:val="22"/>
        </w:rPr>
        <w:t>BP Capital Markets</w:t>
      </w:r>
      <w:r w:rsidRPr="00A47A89">
        <w:rPr>
          <w:rFonts w:ascii="Calibri" w:hAnsi="Calibri" w:cs="Calibri"/>
          <w:sz w:val="22"/>
          <w:szCs w:val="22"/>
        </w:rPr>
        <w:t xml:space="preserve"> and </w:t>
      </w:r>
      <w:proofErr w:type="spellStart"/>
      <w:r w:rsidRPr="00383BC6">
        <w:rPr>
          <w:rFonts w:ascii="Calibri" w:hAnsi="Calibri" w:cs="Calibri"/>
          <w:sz w:val="22"/>
          <w:szCs w:val="22"/>
        </w:rPr>
        <w:t>Petroleo</w:t>
      </w:r>
      <w:proofErr w:type="spellEnd"/>
      <w:r w:rsidRPr="00383BC6">
        <w:rPr>
          <w:rFonts w:ascii="Calibri" w:hAnsi="Calibri" w:cs="Calibri"/>
          <w:sz w:val="22"/>
          <w:szCs w:val="22"/>
        </w:rPr>
        <w:t xml:space="preserve"> </w:t>
      </w:r>
      <w:proofErr w:type="spellStart"/>
      <w:r w:rsidRPr="00383BC6">
        <w:rPr>
          <w:rFonts w:ascii="Calibri" w:hAnsi="Calibri" w:cs="Calibri"/>
          <w:sz w:val="22"/>
          <w:szCs w:val="22"/>
        </w:rPr>
        <w:t>Brasileiro</w:t>
      </w:r>
      <w:proofErr w:type="spellEnd"/>
      <w:r>
        <w:rPr>
          <w:rFonts w:ascii="Calibri" w:hAnsi="Calibri" w:cs="Calibri"/>
          <w:sz w:val="22"/>
          <w:szCs w:val="22"/>
        </w:rPr>
        <w:t xml:space="preserve">, but no indirect holdings. </w:t>
      </w:r>
      <w:r w:rsidRPr="005B6139">
        <w:rPr>
          <w:rFonts w:ascii="Calibri" w:hAnsi="Calibri" w:cs="Calibri"/>
          <w:sz w:val="22"/>
          <w:szCs w:val="22"/>
        </w:rPr>
        <w:t xml:space="preserve">As per the requirements of the law, JRS sent letters to </w:t>
      </w:r>
      <w:r>
        <w:rPr>
          <w:rFonts w:ascii="Calibri" w:hAnsi="Calibri" w:cs="Calibri"/>
          <w:sz w:val="22"/>
          <w:szCs w:val="22"/>
        </w:rPr>
        <w:t>BP Capital Markets and</w:t>
      </w:r>
      <w:r w:rsidRPr="00F83970">
        <w:rPr>
          <w:rFonts w:ascii="Calibri" w:hAnsi="Calibri" w:cs="Calibri"/>
          <w:sz w:val="22"/>
          <w:szCs w:val="22"/>
        </w:rPr>
        <w:t xml:space="preserve"> </w:t>
      </w:r>
      <w:proofErr w:type="spellStart"/>
      <w:r w:rsidRPr="00F83970">
        <w:rPr>
          <w:rFonts w:ascii="Calibri" w:hAnsi="Calibri" w:cs="Calibri"/>
          <w:sz w:val="22"/>
          <w:szCs w:val="22"/>
        </w:rPr>
        <w:t>Petroleo</w:t>
      </w:r>
      <w:proofErr w:type="spellEnd"/>
      <w:r w:rsidRPr="00F83970">
        <w:rPr>
          <w:rFonts w:ascii="Calibri" w:hAnsi="Calibri" w:cs="Calibri"/>
          <w:sz w:val="22"/>
          <w:szCs w:val="22"/>
        </w:rPr>
        <w:t xml:space="preserve"> </w:t>
      </w:r>
      <w:proofErr w:type="spellStart"/>
      <w:r w:rsidRPr="00F83970">
        <w:rPr>
          <w:rFonts w:ascii="Calibri" w:hAnsi="Calibri" w:cs="Calibri"/>
          <w:sz w:val="22"/>
          <w:szCs w:val="22"/>
        </w:rPr>
        <w:t>Brasileiro</w:t>
      </w:r>
      <w:proofErr w:type="spellEnd"/>
      <w:r>
        <w:rPr>
          <w:rFonts w:ascii="Calibri" w:hAnsi="Calibri" w:cs="Calibri"/>
          <w:sz w:val="22"/>
          <w:szCs w:val="22"/>
        </w:rPr>
        <w:t xml:space="preserve"> in 2012, </w:t>
      </w:r>
      <w:r w:rsidRPr="005B6139">
        <w:rPr>
          <w:rFonts w:ascii="Calibri" w:hAnsi="Calibri" w:cs="Calibri"/>
          <w:sz w:val="22"/>
          <w:szCs w:val="22"/>
        </w:rPr>
        <w:t>urging them to cease all active business operations in the country of Iran.</w:t>
      </w:r>
      <w:r>
        <w:rPr>
          <w:rFonts w:ascii="Calibri" w:hAnsi="Calibri" w:cs="Calibri"/>
          <w:sz w:val="22"/>
          <w:szCs w:val="22"/>
        </w:rPr>
        <w:t xml:space="preserve"> If the scrutinized company did not cease business operations, the manager had 18 months to divest, with the final deadline of August 2013.  </w:t>
      </w:r>
    </w:p>
    <w:p w:rsidR="003A46B7" w:rsidRDefault="003A46B7" w:rsidP="003A46B7">
      <w:pPr>
        <w:pStyle w:val="BlockText"/>
        <w:ind w:left="0" w:right="0"/>
        <w:rPr>
          <w:rFonts w:ascii="Calibri" w:hAnsi="Calibri" w:cs="Calibri"/>
          <w:sz w:val="22"/>
          <w:szCs w:val="22"/>
        </w:rPr>
      </w:pPr>
    </w:p>
    <w:p w:rsidR="003A46B7" w:rsidRDefault="003A46B7" w:rsidP="003A46B7">
      <w:pPr>
        <w:pStyle w:val="BlockText"/>
        <w:ind w:left="0" w:right="0"/>
        <w:rPr>
          <w:rFonts w:ascii="Calibri" w:hAnsi="Calibri" w:cs="Calibri"/>
          <w:sz w:val="22"/>
          <w:szCs w:val="22"/>
        </w:rPr>
      </w:pPr>
    </w:p>
    <w:p w:rsidR="003A46B7" w:rsidRDefault="003A46B7" w:rsidP="003A46B7">
      <w:pPr>
        <w:pStyle w:val="BlockText"/>
        <w:ind w:left="0" w:right="0"/>
        <w:rPr>
          <w:rFonts w:ascii="Calibri" w:hAnsi="Calibri" w:cs="Calibri"/>
          <w:sz w:val="22"/>
          <w:szCs w:val="22"/>
        </w:rPr>
      </w:pPr>
    </w:p>
    <w:p w:rsidR="003A46B7" w:rsidRPr="005B6139" w:rsidRDefault="003A46B7" w:rsidP="003A46B7">
      <w:pPr>
        <w:pStyle w:val="BlockText"/>
        <w:ind w:left="0" w:right="0"/>
        <w:rPr>
          <w:rFonts w:ascii="Calibri" w:hAnsi="Calibri" w:cs="Calibri"/>
          <w:sz w:val="22"/>
          <w:szCs w:val="22"/>
        </w:rPr>
      </w:pPr>
    </w:p>
    <w:p w:rsidR="003A46B7" w:rsidRPr="005B6139" w:rsidRDefault="003A46B7" w:rsidP="003A46B7">
      <w:pPr>
        <w:pStyle w:val="BlockText"/>
        <w:ind w:left="0" w:right="0"/>
        <w:rPr>
          <w:rFonts w:ascii="Calibri" w:hAnsi="Calibri" w:cs="Calibri"/>
          <w:sz w:val="22"/>
          <w:szCs w:val="22"/>
        </w:rPr>
      </w:pPr>
      <w:r w:rsidRPr="005B6139">
        <w:rPr>
          <w:rFonts w:ascii="Calibri" w:hAnsi="Calibri" w:cs="Calibri"/>
          <w:b/>
          <w:sz w:val="22"/>
          <w:szCs w:val="22"/>
        </w:rPr>
        <w:t>Divestment</w:t>
      </w:r>
    </w:p>
    <w:p w:rsidR="003A46B7" w:rsidRPr="005B6139" w:rsidRDefault="003A46B7" w:rsidP="003A46B7">
      <w:pPr>
        <w:pStyle w:val="BlockText"/>
        <w:ind w:left="0" w:right="0"/>
        <w:rPr>
          <w:rFonts w:ascii="Calibri" w:hAnsi="Calibri" w:cs="Calibri"/>
          <w:sz w:val="22"/>
          <w:szCs w:val="22"/>
        </w:rPr>
      </w:pPr>
      <w:r>
        <w:rPr>
          <w:rFonts w:ascii="Calibri" w:hAnsi="Calibri" w:cs="Calibri"/>
          <w:sz w:val="22"/>
          <w:szCs w:val="22"/>
        </w:rPr>
        <w:lastRenderedPageBreak/>
        <w:t xml:space="preserve">During the year </w:t>
      </w:r>
      <w:proofErr w:type="spellStart"/>
      <w:r w:rsidRPr="00383BC6">
        <w:rPr>
          <w:rFonts w:ascii="Calibri" w:hAnsi="Calibri" w:cs="Calibri"/>
          <w:sz w:val="22"/>
          <w:szCs w:val="22"/>
        </w:rPr>
        <w:t>Petroleo</w:t>
      </w:r>
      <w:proofErr w:type="spellEnd"/>
      <w:r w:rsidRPr="00383BC6">
        <w:rPr>
          <w:rFonts w:ascii="Calibri" w:hAnsi="Calibri" w:cs="Calibri"/>
          <w:sz w:val="22"/>
          <w:szCs w:val="22"/>
        </w:rPr>
        <w:t xml:space="preserve"> </w:t>
      </w:r>
      <w:proofErr w:type="spellStart"/>
      <w:r w:rsidRPr="00383BC6">
        <w:rPr>
          <w:rFonts w:ascii="Calibri" w:hAnsi="Calibri" w:cs="Calibri"/>
          <w:sz w:val="22"/>
          <w:szCs w:val="22"/>
        </w:rPr>
        <w:t>Brasileiro</w:t>
      </w:r>
      <w:proofErr w:type="spellEnd"/>
      <w:r w:rsidRPr="005B6139">
        <w:rPr>
          <w:rFonts w:ascii="Calibri" w:hAnsi="Calibri" w:cs="Calibri"/>
          <w:sz w:val="22"/>
          <w:szCs w:val="22"/>
        </w:rPr>
        <w:t xml:space="preserve"> </w:t>
      </w:r>
      <w:r>
        <w:rPr>
          <w:rFonts w:ascii="Calibri" w:hAnsi="Calibri" w:cs="Calibri"/>
          <w:sz w:val="22"/>
          <w:szCs w:val="22"/>
        </w:rPr>
        <w:t xml:space="preserve">was removed from the list of scrutinized companies so no divestment was necessary. BP Capital Markets remained on the list of scrutinized companies so the manager divested of the company during 2013. </w:t>
      </w:r>
    </w:p>
    <w:p w:rsidR="003A46B7" w:rsidRPr="005B6139" w:rsidRDefault="003A46B7" w:rsidP="003A46B7">
      <w:pPr>
        <w:pStyle w:val="BlockText"/>
        <w:tabs>
          <w:tab w:val="left" w:pos="5100"/>
        </w:tabs>
        <w:ind w:left="0" w:right="0"/>
        <w:rPr>
          <w:rFonts w:ascii="Calibri" w:hAnsi="Calibri" w:cs="Calibri"/>
          <w:sz w:val="22"/>
          <w:szCs w:val="22"/>
        </w:rPr>
      </w:pPr>
      <w:r w:rsidRPr="005B6139">
        <w:rPr>
          <w:rFonts w:ascii="Calibri" w:hAnsi="Calibri" w:cs="Calibri"/>
          <w:sz w:val="22"/>
          <w:szCs w:val="22"/>
        </w:rPr>
        <w:tab/>
      </w:r>
    </w:p>
    <w:p w:rsidR="003A46B7" w:rsidRDefault="003A46B7" w:rsidP="003A46B7">
      <w:pPr>
        <w:pStyle w:val="BlockText"/>
        <w:ind w:left="0" w:right="0"/>
        <w:rPr>
          <w:rFonts w:ascii="Calibri" w:hAnsi="Calibri" w:cs="Calibri"/>
          <w:sz w:val="22"/>
          <w:szCs w:val="22"/>
        </w:rPr>
      </w:pPr>
      <w:r>
        <w:rPr>
          <w:rFonts w:ascii="Calibri" w:hAnsi="Calibri" w:cs="Calibri"/>
          <w:sz w:val="22"/>
          <w:szCs w:val="22"/>
        </w:rPr>
        <w:t>J</w:t>
      </w:r>
      <w:r w:rsidRPr="005B6139">
        <w:rPr>
          <w:rFonts w:ascii="Calibri" w:hAnsi="Calibri" w:cs="Calibri"/>
          <w:sz w:val="22"/>
          <w:szCs w:val="22"/>
        </w:rPr>
        <w:t>RS did not have any indirect holdings as of June 30, 201</w:t>
      </w:r>
      <w:r>
        <w:rPr>
          <w:rFonts w:ascii="Calibri" w:hAnsi="Calibri" w:cs="Calibri"/>
          <w:sz w:val="22"/>
          <w:szCs w:val="22"/>
        </w:rPr>
        <w:t>3</w:t>
      </w:r>
      <w:r w:rsidRPr="005B6139">
        <w:rPr>
          <w:rFonts w:ascii="Calibri" w:hAnsi="Calibri" w:cs="Calibri"/>
          <w:sz w:val="22"/>
          <w:szCs w:val="22"/>
        </w:rPr>
        <w:t xml:space="preserve">. </w:t>
      </w:r>
    </w:p>
    <w:p w:rsidR="003A46B7" w:rsidRPr="005B6139" w:rsidRDefault="003A46B7" w:rsidP="003A46B7">
      <w:pPr>
        <w:pStyle w:val="BlockText"/>
        <w:ind w:left="0" w:right="0"/>
        <w:rPr>
          <w:rFonts w:ascii="Calibri" w:hAnsi="Calibri" w:cs="Calibri"/>
          <w:sz w:val="22"/>
          <w:szCs w:val="22"/>
        </w:rPr>
      </w:pPr>
    </w:p>
    <w:p w:rsidR="003A46B7" w:rsidRPr="005B6139" w:rsidRDefault="003A46B7" w:rsidP="003A46B7">
      <w:pPr>
        <w:pStyle w:val="BlockText"/>
        <w:ind w:left="0" w:right="0"/>
        <w:rPr>
          <w:rFonts w:ascii="Calibri" w:hAnsi="Calibri" w:cs="Calibri"/>
          <w:b/>
          <w:sz w:val="22"/>
          <w:szCs w:val="22"/>
        </w:rPr>
      </w:pPr>
      <w:r w:rsidRPr="005B6139">
        <w:rPr>
          <w:rFonts w:ascii="Calibri" w:hAnsi="Calibri" w:cs="Calibri"/>
          <w:b/>
          <w:sz w:val="22"/>
          <w:szCs w:val="22"/>
        </w:rPr>
        <w:t>Report Availability</w:t>
      </w:r>
    </w:p>
    <w:p w:rsidR="003A46B7" w:rsidRPr="005B6139" w:rsidRDefault="003A46B7" w:rsidP="003A46B7">
      <w:pPr>
        <w:pStyle w:val="BlockText"/>
        <w:ind w:left="0" w:right="0"/>
        <w:rPr>
          <w:rFonts w:ascii="Calibri" w:hAnsi="Calibri" w:cs="Calibri"/>
          <w:sz w:val="22"/>
          <w:szCs w:val="22"/>
        </w:rPr>
      </w:pPr>
      <w:r w:rsidRPr="005B6139">
        <w:rPr>
          <w:rFonts w:ascii="Calibri" w:hAnsi="Calibri" w:cs="Calibri"/>
          <w:sz w:val="22"/>
          <w:szCs w:val="22"/>
        </w:rPr>
        <w:t>This report, along with any other quarterly scrutinized company list can be obtained by contacting the Treasurer’s office at 515-281-8478 or jina.bresson@iowa.gov.</w:t>
      </w:r>
    </w:p>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Default="003A46B7"/>
    <w:p w:rsidR="003A46B7" w:rsidRPr="00994E85" w:rsidRDefault="003A46B7" w:rsidP="003A46B7">
      <w:pPr>
        <w:rPr>
          <w:b/>
        </w:rPr>
      </w:pPr>
      <w:r w:rsidRPr="00994E85">
        <w:rPr>
          <w:b/>
        </w:rPr>
        <w:lastRenderedPageBreak/>
        <w:t>Iran Company List – June 30, 2013</w:t>
      </w:r>
    </w:p>
    <w:p w:rsidR="003A46B7" w:rsidRPr="00BE1E2E" w:rsidRDefault="003A46B7" w:rsidP="003A46B7">
      <w:pPr>
        <w:autoSpaceDE w:val="0"/>
        <w:autoSpaceDN w:val="0"/>
        <w:adjustRightInd w:val="0"/>
        <w:rPr>
          <w:rFonts w:cs="Century Gothic"/>
        </w:rPr>
      </w:pPr>
      <w:proofErr w:type="spellStart"/>
      <w:proofErr w:type="gramStart"/>
      <w:r w:rsidRPr="00BE1E2E">
        <w:rPr>
          <w:rFonts w:cs="Century Gothic"/>
        </w:rPr>
        <w:t>Aban</w:t>
      </w:r>
      <w:proofErr w:type="spellEnd"/>
      <w:r w:rsidRPr="00BE1E2E">
        <w:rPr>
          <w:rFonts w:cs="Century Gothic"/>
        </w:rPr>
        <w:t xml:space="preserve"> Offshore Ltd.</w:t>
      </w:r>
      <w:proofErr w:type="gramEnd"/>
      <w:r w:rsidRPr="00BE1E2E">
        <w:rPr>
          <w:rFonts w:cs="Century Gothic"/>
        </w:rPr>
        <w:t xml:space="preserve"> </w:t>
      </w:r>
    </w:p>
    <w:p w:rsidR="003A46B7" w:rsidRPr="00BE1E2E" w:rsidRDefault="003A46B7" w:rsidP="003A46B7">
      <w:pPr>
        <w:autoSpaceDE w:val="0"/>
        <w:autoSpaceDN w:val="0"/>
        <w:adjustRightInd w:val="0"/>
        <w:rPr>
          <w:rFonts w:cs="Century Gothic"/>
        </w:rPr>
      </w:pPr>
      <w:r w:rsidRPr="00BE1E2E">
        <w:rPr>
          <w:rFonts w:cs="Century Gothic"/>
        </w:rPr>
        <w:t xml:space="preserve">Arabian Pipes Co </w:t>
      </w:r>
    </w:p>
    <w:p w:rsidR="003A46B7" w:rsidRPr="00BE1E2E" w:rsidRDefault="003A46B7" w:rsidP="003A46B7">
      <w:pPr>
        <w:autoSpaceDE w:val="0"/>
        <w:autoSpaceDN w:val="0"/>
        <w:adjustRightInd w:val="0"/>
        <w:rPr>
          <w:rFonts w:cs="Century Gothic"/>
        </w:rPr>
      </w:pPr>
      <w:r w:rsidRPr="00BE1E2E">
        <w:rPr>
          <w:rFonts w:cs="Century Gothic"/>
        </w:rPr>
        <w:t xml:space="preserve">Bharat Petroleum Corporation Ltd. </w:t>
      </w:r>
    </w:p>
    <w:p w:rsidR="003A46B7" w:rsidRPr="00BE1E2E" w:rsidRDefault="003A46B7" w:rsidP="003A46B7">
      <w:pPr>
        <w:autoSpaceDE w:val="0"/>
        <w:autoSpaceDN w:val="0"/>
        <w:adjustRightInd w:val="0"/>
        <w:rPr>
          <w:rFonts w:cs="Century Gothic"/>
        </w:rPr>
      </w:pPr>
      <w:r w:rsidRPr="00BE1E2E">
        <w:rPr>
          <w:rFonts w:cs="Century Gothic"/>
        </w:rPr>
        <w:t xml:space="preserve">BP </w:t>
      </w:r>
      <w:proofErr w:type="spellStart"/>
      <w:r w:rsidRPr="00BE1E2E">
        <w:rPr>
          <w:rFonts w:cs="Century Gothic"/>
        </w:rPr>
        <w:t>plc</w:t>
      </w:r>
      <w:proofErr w:type="spellEnd"/>
      <w:r w:rsidRPr="00BE1E2E">
        <w:rPr>
          <w:rFonts w:cs="Century Gothic"/>
        </w:rPr>
        <w:t xml:space="preserve"> </w:t>
      </w:r>
    </w:p>
    <w:p w:rsidR="003A46B7" w:rsidRPr="00BE1E2E" w:rsidRDefault="003A46B7" w:rsidP="003A46B7">
      <w:pPr>
        <w:autoSpaceDE w:val="0"/>
        <w:autoSpaceDN w:val="0"/>
        <w:adjustRightInd w:val="0"/>
        <w:rPr>
          <w:rFonts w:cs="Century Gothic"/>
        </w:rPr>
      </w:pPr>
      <w:proofErr w:type="spellStart"/>
      <w:r w:rsidRPr="00BE1E2E">
        <w:rPr>
          <w:rFonts w:cs="Century Gothic"/>
        </w:rPr>
        <w:t>Chadormalu</w:t>
      </w:r>
      <w:proofErr w:type="spellEnd"/>
      <w:r w:rsidRPr="00BE1E2E">
        <w:rPr>
          <w:rFonts w:cs="Century Gothic"/>
        </w:rPr>
        <w:t xml:space="preserve"> Mineral &amp; Ind. Co. </w:t>
      </w:r>
    </w:p>
    <w:p w:rsidR="003A46B7" w:rsidRPr="00BE1E2E" w:rsidRDefault="003A46B7" w:rsidP="003A46B7">
      <w:pPr>
        <w:autoSpaceDE w:val="0"/>
        <w:autoSpaceDN w:val="0"/>
        <w:adjustRightInd w:val="0"/>
        <w:rPr>
          <w:rFonts w:cs="Century Gothic"/>
        </w:rPr>
      </w:pPr>
      <w:r w:rsidRPr="00BE1E2E">
        <w:rPr>
          <w:rFonts w:cs="Century Gothic"/>
        </w:rPr>
        <w:t xml:space="preserve">China Nonferrous Metal Industry`s Foreign Eng. </w:t>
      </w:r>
      <w:r>
        <w:rPr>
          <w:rFonts w:cs="Century Gothic"/>
        </w:rPr>
        <w:t>a</w:t>
      </w:r>
      <w:r w:rsidRPr="00BE1E2E">
        <w:rPr>
          <w:rFonts w:cs="Century Gothic"/>
        </w:rPr>
        <w:t xml:space="preserve">nd Const. Co. Ltd. </w:t>
      </w:r>
    </w:p>
    <w:p w:rsidR="003A46B7" w:rsidRPr="00BE1E2E" w:rsidRDefault="003A46B7" w:rsidP="003A46B7">
      <w:pPr>
        <w:autoSpaceDE w:val="0"/>
        <w:autoSpaceDN w:val="0"/>
        <w:adjustRightInd w:val="0"/>
        <w:rPr>
          <w:rFonts w:cs="Century Gothic"/>
        </w:rPr>
      </w:pPr>
      <w:r w:rsidRPr="00BE1E2E">
        <w:rPr>
          <w:rFonts w:cs="Century Gothic"/>
        </w:rPr>
        <w:t xml:space="preserve">China Oilfield Services </w:t>
      </w:r>
    </w:p>
    <w:p w:rsidR="003A46B7" w:rsidRPr="00BE1E2E" w:rsidRDefault="003A46B7" w:rsidP="003A46B7">
      <w:pPr>
        <w:autoSpaceDE w:val="0"/>
        <w:autoSpaceDN w:val="0"/>
        <w:adjustRightInd w:val="0"/>
        <w:rPr>
          <w:rFonts w:cs="Century Gothic"/>
        </w:rPr>
      </w:pPr>
      <w:r w:rsidRPr="00BE1E2E">
        <w:rPr>
          <w:rFonts w:cs="Century Gothic"/>
        </w:rPr>
        <w:t xml:space="preserve">China Petroleum &amp; Chemical Corp </w:t>
      </w:r>
    </w:p>
    <w:p w:rsidR="003A46B7" w:rsidRPr="00BE1E2E" w:rsidRDefault="003A46B7" w:rsidP="003A46B7">
      <w:pPr>
        <w:autoSpaceDE w:val="0"/>
        <w:autoSpaceDN w:val="0"/>
        <w:adjustRightInd w:val="0"/>
        <w:rPr>
          <w:rFonts w:cs="Century Gothic"/>
        </w:rPr>
      </w:pPr>
      <w:r w:rsidRPr="00BE1E2E">
        <w:rPr>
          <w:rFonts w:cs="Century Gothic"/>
        </w:rPr>
        <w:t xml:space="preserve">Crompton Greaves Ltd. </w:t>
      </w:r>
    </w:p>
    <w:p w:rsidR="003A46B7" w:rsidRPr="00BE1E2E" w:rsidRDefault="003A46B7" w:rsidP="003A46B7">
      <w:pPr>
        <w:autoSpaceDE w:val="0"/>
        <w:autoSpaceDN w:val="0"/>
        <w:adjustRightInd w:val="0"/>
        <w:rPr>
          <w:rFonts w:cs="Century Gothic"/>
        </w:rPr>
      </w:pPr>
      <w:proofErr w:type="spellStart"/>
      <w:r w:rsidRPr="00BE1E2E">
        <w:rPr>
          <w:rFonts w:cs="Century Gothic"/>
        </w:rPr>
        <w:t>Daelim</w:t>
      </w:r>
      <w:proofErr w:type="spellEnd"/>
      <w:r w:rsidRPr="00BE1E2E">
        <w:rPr>
          <w:rFonts w:cs="Century Gothic"/>
        </w:rPr>
        <w:t xml:space="preserve"> Industrial </w:t>
      </w:r>
    </w:p>
    <w:p w:rsidR="003A46B7" w:rsidRPr="00BE1E2E" w:rsidRDefault="003A46B7" w:rsidP="003A46B7">
      <w:pPr>
        <w:autoSpaceDE w:val="0"/>
        <w:autoSpaceDN w:val="0"/>
        <w:adjustRightInd w:val="0"/>
        <w:rPr>
          <w:rFonts w:cs="Century Gothic"/>
        </w:rPr>
      </w:pPr>
      <w:r w:rsidRPr="00BE1E2E">
        <w:rPr>
          <w:rFonts w:cs="Century Gothic"/>
        </w:rPr>
        <w:t xml:space="preserve">Dominion Energy PLC </w:t>
      </w:r>
    </w:p>
    <w:p w:rsidR="003A46B7" w:rsidRPr="00BE1E2E" w:rsidRDefault="003A46B7" w:rsidP="003A46B7">
      <w:pPr>
        <w:autoSpaceDE w:val="0"/>
        <w:autoSpaceDN w:val="0"/>
        <w:adjustRightInd w:val="0"/>
        <w:rPr>
          <w:rFonts w:cs="Century Gothic"/>
        </w:rPr>
      </w:pPr>
      <w:r w:rsidRPr="00BE1E2E">
        <w:rPr>
          <w:rFonts w:cs="Century Gothic"/>
        </w:rPr>
        <w:t xml:space="preserve">Doosan Co., Ltd </w:t>
      </w:r>
    </w:p>
    <w:p w:rsidR="003A46B7" w:rsidRPr="00BE1E2E" w:rsidRDefault="003A46B7" w:rsidP="003A46B7">
      <w:pPr>
        <w:autoSpaceDE w:val="0"/>
        <w:autoSpaceDN w:val="0"/>
        <w:adjustRightInd w:val="0"/>
        <w:rPr>
          <w:rFonts w:cs="Century Gothic"/>
        </w:rPr>
      </w:pPr>
      <w:r w:rsidRPr="00BE1E2E">
        <w:rPr>
          <w:rFonts w:cs="Century Gothic"/>
        </w:rPr>
        <w:t xml:space="preserve">Doosan Heavy Industries and Construction </w:t>
      </w:r>
    </w:p>
    <w:p w:rsidR="003A46B7" w:rsidRPr="00BE1E2E" w:rsidRDefault="003A46B7" w:rsidP="003A46B7">
      <w:pPr>
        <w:autoSpaceDE w:val="0"/>
        <w:autoSpaceDN w:val="0"/>
        <w:adjustRightInd w:val="0"/>
        <w:rPr>
          <w:rFonts w:cs="Century Gothic"/>
        </w:rPr>
      </w:pPr>
      <w:r w:rsidRPr="00BE1E2E">
        <w:rPr>
          <w:rFonts w:cs="Century Gothic"/>
        </w:rPr>
        <w:t xml:space="preserve">Engineers India Ltd. </w:t>
      </w:r>
    </w:p>
    <w:p w:rsidR="003A46B7" w:rsidRPr="00BE1E2E" w:rsidRDefault="003A46B7" w:rsidP="003A46B7">
      <w:pPr>
        <w:autoSpaceDE w:val="0"/>
        <w:autoSpaceDN w:val="0"/>
        <w:adjustRightInd w:val="0"/>
        <w:rPr>
          <w:rFonts w:cs="Century Gothic"/>
        </w:rPr>
      </w:pPr>
      <w:proofErr w:type="spellStart"/>
      <w:r w:rsidRPr="00BE1E2E">
        <w:rPr>
          <w:rFonts w:cs="Century Gothic"/>
        </w:rPr>
        <w:t>Exmar</w:t>
      </w:r>
      <w:proofErr w:type="spellEnd"/>
      <w:r w:rsidRPr="00BE1E2E">
        <w:rPr>
          <w:rFonts w:cs="Century Gothic"/>
        </w:rPr>
        <w:t xml:space="preserve"> SA </w:t>
      </w:r>
    </w:p>
    <w:p w:rsidR="003A46B7" w:rsidRPr="00BE1E2E" w:rsidRDefault="003A46B7" w:rsidP="003A46B7">
      <w:pPr>
        <w:autoSpaceDE w:val="0"/>
        <w:autoSpaceDN w:val="0"/>
        <w:adjustRightInd w:val="0"/>
        <w:rPr>
          <w:rFonts w:cs="Century Gothic"/>
        </w:rPr>
      </w:pPr>
      <w:proofErr w:type="spellStart"/>
      <w:r w:rsidRPr="00BE1E2E">
        <w:rPr>
          <w:rFonts w:cs="Century Gothic"/>
        </w:rPr>
        <w:t>Finmeccanica</w:t>
      </w:r>
      <w:proofErr w:type="spellEnd"/>
      <w:r w:rsidRPr="00BE1E2E">
        <w:rPr>
          <w:rFonts w:cs="Century Gothic"/>
        </w:rPr>
        <w:t xml:space="preserve"> Spa </w:t>
      </w:r>
    </w:p>
    <w:p w:rsidR="003A46B7" w:rsidRPr="00BE1E2E" w:rsidRDefault="003A46B7" w:rsidP="003A46B7">
      <w:pPr>
        <w:autoSpaceDE w:val="0"/>
        <w:autoSpaceDN w:val="0"/>
        <w:adjustRightInd w:val="0"/>
        <w:rPr>
          <w:rFonts w:cs="Century Gothic"/>
        </w:rPr>
      </w:pPr>
      <w:proofErr w:type="gramStart"/>
      <w:r w:rsidRPr="00BE1E2E">
        <w:rPr>
          <w:rFonts w:cs="Century Gothic"/>
        </w:rPr>
        <w:t>Gail (India) Ltd.</w:t>
      </w:r>
      <w:proofErr w:type="gramEnd"/>
      <w:r w:rsidRPr="00BE1E2E">
        <w:rPr>
          <w:rFonts w:cs="Century Gothic"/>
        </w:rPr>
        <w:t xml:space="preserve"> </w:t>
      </w:r>
    </w:p>
    <w:p w:rsidR="003A46B7" w:rsidRPr="00BE1E2E" w:rsidRDefault="003A46B7" w:rsidP="003A46B7">
      <w:pPr>
        <w:autoSpaceDE w:val="0"/>
        <w:autoSpaceDN w:val="0"/>
        <w:adjustRightInd w:val="0"/>
        <w:rPr>
          <w:rFonts w:cs="Century Gothic"/>
        </w:rPr>
      </w:pPr>
      <w:r w:rsidRPr="00BE1E2E">
        <w:rPr>
          <w:rFonts w:cs="Century Gothic"/>
        </w:rPr>
        <w:t xml:space="preserve">Gas Natural SDG </w:t>
      </w:r>
    </w:p>
    <w:p w:rsidR="003A46B7" w:rsidRPr="00BE1E2E" w:rsidRDefault="003A46B7" w:rsidP="003A46B7">
      <w:pPr>
        <w:autoSpaceDE w:val="0"/>
        <w:autoSpaceDN w:val="0"/>
        <w:adjustRightInd w:val="0"/>
        <w:rPr>
          <w:rFonts w:cs="Century Gothic"/>
        </w:rPr>
      </w:pPr>
      <w:r w:rsidRPr="00BE1E2E">
        <w:rPr>
          <w:rFonts w:cs="Century Gothic"/>
        </w:rPr>
        <w:t xml:space="preserve">GS Engineering &amp; Construction Corp </w:t>
      </w:r>
    </w:p>
    <w:p w:rsidR="003A46B7" w:rsidRPr="00BE1E2E" w:rsidRDefault="003A46B7" w:rsidP="003A46B7">
      <w:pPr>
        <w:autoSpaceDE w:val="0"/>
        <w:autoSpaceDN w:val="0"/>
        <w:adjustRightInd w:val="0"/>
        <w:rPr>
          <w:rFonts w:cs="Century Gothic"/>
        </w:rPr>
      </w:pPr>
      <w:r w:rsidRPr="00BE1E2E">
        <w:rPr>
          <w:rFonts w:cs="Century Gothic"/>
        </w:rPr>
        <w:t xml:space="preserve">GS Holdings </w:t>
      </w:r>
    </w:p>
    <w:p w:rsidR="003A46B7" w:rsidRPr="00BE1E2E" w:rsidRDefault="003A46B7" w:rsidP="003A46B7">
      <w:pPr>
        <w:autoSpaceDE w:val="0"/>
        <w:autoSpaceDN w:val="0"/>
        <w:adjustRightInd w:val="0"/>
        <w:rPr>
          <w:rFonts w:cs="Century Gothic"/>
        </w:rPr>
      </w:pPr>
      <w:proofErr w:type="spellStart"/>
      <w:r w:rsidRPr="00BE1E2E">
        <w:rPr>
          <w:rFonts w:cs="Century Gothic"/>
        </w:rPr>
        <w:t>Ilyushin</w:t>
      </w:r>
      <w:proofErr w:type="spellEnd"/>
      <w:r w:rsidRPr="00BE1E2E">
        <w:rPr>
          <w:rFonts w:cs="Century Gothic"/>
        </w:rPr>
        <w:t xml:space="preserve"> Aviation Complex </w:t>
      </w:r>
    </w:p>
    <w:p w:rsidR="003A46B7" w:rsidRPr="00BE1E2E" w:rsidRDefault="003A46B7" w:rsidP="003A46B7">
      <w:pPr>
        <w:autoSpaceDE w:val="0"/>
        <w:autoSpaceDN w:val="0"/>
        <w:adjustRightInd w:val="0"/>
        <w:rPr>
          <w:rFonts w:cs="Century Gothic"/>
        </w:rPr>
      </w:pPr>
      <w:r w:rsidRPr="00BE1E2E">
        <w:rPr>
          <w:rFonts w:cs="Century Gothic"/>
        </w:rPr>
        <w:t>Ina-</w:t>
      </w:r>
      <w:proofErr w:type="spellStart"/>
      <w:r w:rsidRPr="00BE1E2E">
        <w:rPr>
          <w:rFonts w:cs="Century Gothic"/>
        </w:rPr>
        <w:t>Industrija</w:t>
      </w:r>
      <w:proofErr w:type="spellEnd"/>
      <w:r w:rsidRPr="00BE1E2E">
        <w:rPr>
          <w:rFonts w:cs="Century Gothic"/>
        </w:rPr>
        <w:t xml:space="preserve"> </w:t>
      </w:r>
      <w:proofErr w:type="spellStart"/>
      <w:r w:rsidRPr="00BE1E2E">
        <w:rPr>
          <w:rFonts w:cs="Century Gothic"/>
        </w:rPr>
        <w:t>Nafte</w:t>
      </w:r>
      <w:proofErr w:type="spellEnd"/>
      <w:r w:rsidRPr="00BE1E2E">
        <w:rPr>
          <w:rFonts w:cs="Century Gothic"/>
        </w:rPr>
        <w:t xml:space="preserve"> DD </w:t>
      </w:r>
    </w:p>
    <w:p w:rsidR="003A46B7" w:rsidRPr="00BE1E2E" w:rsidRDefault="003A46B7" w:rsidP="003A46B7">
      <w:pPr>
        <w:autoSpaceDE w:val="0"/>
        <w:autoSpaceDN w:val="0"/>
        <w:adjustRightInd w:val="0"/>
        <w:rPr>
          <w:rFonts w:cs="Century Gothic"/>
        </w:rPr>
      </w:pPr>
      <w:r w:rsidRPr="00BE1E2E">
        <w:rPr>
          <w:rFonts w:cs="Century Gothic"/>
        </w:rPr>
        <w:t xml:space="preserve">Indian Oil Corporation Ltd. </w:t>
      </w:r>
    </w:p>
    <w:p w:rsidR="003A46B7" w:rsidRPr="00BE1E2E" w:rsidRDefault="003A46B7" w:rsidP="003A46B7">
      <w:pPr>
        <w:autoSpaceDE w:val="0"/>
        <w:autoSpaceDN w:val="0"/>
        <w:adjustRightInd w:val="0"/>
        <w:rPr>
          <w:rFonts w:cs="Century Gothic"/>
        </w:rPr>
      </w:pPr>
      <w:r w:rsidRPr="00BE1E2E">
        <w:rPr>
          <w:rFonts w:cs="Century Gothic"/>
        </w:rPr>
        <w:t xml:space="preserve">KEC International Ltd. </w:t>
      </w:r>
    </w:p>
    <w:p w:rsidR="003A46B7" w:rsidRPr="00BE1E2E" w:rsidRDefault="003A46B7" w:rsidP="003A46B7">
      <w:pPr>
        <w:autoSpaceDE w:val="0"/>
        <w:autoSpaceDN w:val="0"/>
        <w:adjustRightInd w:val="0"/>
        <w:rPr>
          <w:rFonts w:cs="Century Gothic"/>
        </w:rPr>
      </w:pPr>
      <w:r w:rsidRPr="00BE1E2E">
        <w:rPr>
          <w:rFonts w:cs="Century Gothic"/>
        </w:rPr>
        <w:t xml:space="preserve">Mangalore Refinery &amp; Petrochemicals Ltd. </w:t>
      </w:r>
    </w:p>
    <w:p w:rsidR="003A46B7" w:rsidRPr="00BE1E2E" w:rsidRDefault="003A46B7" w:rsidP="003A46B7">
      <w:pPr>
        <w:autoSpaceDE w:val="0"/>
        <w:autoSpaceDN w:val="0"/>
        <w:adjustRightInd w:val="0"/>
        <w:rPr>
          <w:rFonts w:cs="Century Gothic"/>
        </w:rPr>
      </w:pPr>
      <w:r w:rsidRPr="00BE1E2E">
        <w:rPr>
          <w:rFonts w:cs="Century Gothic"/>
        </w:rPr>
        <w:t xml:space="preserve">Mitsui &amp; Co. Ltd </w:t>
      </w:r>
    </w:p>
    <w:p w:rsidR="003A46B7" w:rsidRPr="00BE1E2E" w:rsidRDefault="003A46B7" w:rsidP="003A46B7">
      <w:pPr>
        <w:autoSpaceDE w:val="0"/>
        <w:autoSpaceDN w:val="0"/>
        <w:adjustRightInd w:val="0"/>
        <w:rPr>
          <w:rFonts w:cs="Century Gothic"/>
        </w:rPr>
      </w:pPr>
      <w:r w:rsidRPr="00BE1E2E">
        <w:rPr>
          <w:rFonts w:cs="Century Gothic"/>
        </w:rPr>
        <w:t xml:space="preserve">MMC Corp </w:t>
      </w:r>
      <w:proofErr w:type="spellStart"/>
      <w:r w:rsidRPr="00BE1E2E">
        <w:rPr>
          <w:rFonts w:cs="Century Gothic"/>
        </w:rPr>
        <w:t>Bhd</w:t>
      </w:r>
      <w:proofErr w:type="spellEnd"/>
      <w:r w:rsidRPr="00BE1E2E">
        <w:rPr>
          <w:rFonts w:cs="Century Gothic"/>
        </w:rPr>
        <w:t xml:space="preserve"> </w:t>
      </w:r>
    </w:p>
    <w:p w:rsidR="003A46B7" w:rsidRPr="00BE1E2E" w:rsidRDefault="003A46B7" w:rsidP="003A46B7">
      <w:pPr>
        <w:autoSpaceDE w:val="0"/>
        <w:autoSpaceDN w:val="0"/>
        <w:adjustRightInd w:val="0"/>
        <w:rPr>
          <w:rFonts w:cs="Century Gothic"/>
        </w:rPr>
      </w:pPr>
      <w:r w:rsidRPr="00BE1E2E">
        <w:rPr>
          <w:rFonts w:cs="Century Gothic"/>
        </w:rPr>
        <w:t xml:space="preserve">Motor </w:t>
      </w:r>
      <w:proofErr w:type="spellStart"/>
      <w:r w:rsidRPr="00BE1E2E">
        <w:rPr>
          <w:rFonts w:cs="Century Gothic"/>
        </w:rPr>
        <w:t>Sich</w:t>
      </w:r>
      <w:proofErr w:type="spellEnd"/>
      <w:r w:rsidRPr="00BE1E2E">
        <w:rPr>
          <w:rFonts w:cs="Century Gothic"/>
        </w:rPr>
        <w:t xml:space="preserve"> </w:t>
      </w:r>
    </w:p>
    <w:p w:rsidR="003A46B7" w:rsidRPr="00BE1E2E" w:rsidRDefault="003A46B7" w:rsidP="003A46B7">
      <w:pPr>
        <w:autoSpaceDE w:val="0"/>
        <w:autoSpaceDN w:val="0"/>
        <w:adjustRightInd w:val="0"/>
        <w:rPr>
          <w:rFonts w:cs="Century Gothic"/>
        </w:rPr>
      </w:pPr>
      <w:proofErr w:type="spellStart"/>
      <w:r w:rsidRPr="00BE1E2E">
        <w:rPr>
          <w:rFonts w:cs="Century Gothic"/>
        </w:rPr>
        <w:t>Nagarjuna</w:t>
      </w:r>
      <w:proofErr w:type="spellEnd"/>
      <w:r w:rsidRPr="00BE1E2E">
        <w:rPr>
          <w:rFonts w:cs="Century Gothic"/>
        </w:rPr>
        <w:t xml:space="preserve"> Fertilizers &amp; Chemicals Ltd. </w:t>
      </w:r>
    </w:p>
    <w:p w:rsidR="003A46B7" w:rsidRPr="00BE1E2E" w:rsidRDefault="003A46B7" w:rsidP="003A46B7">
      <w:pPr>
        <w:autoSpaceDE w:val="0"/>
        <w:autoSpaceDN w:val="0"/>
        <w:adjustRightInd w:val="0"/>
        <w:rPr>
          <w:rFonts w:cs="Century Gothic"/>
        </w:rPr>
      </w:pPr>
      <w:r w:rsidRPr="00BE1E2E">
        <w:rPr>
          <w:rFonts w:cs="Century Gothic"/>
        </w:rPr>
        <w:t xml:space="preserve">Oil &amp; Natural Gas Corporation Ltd. </w:t>
      </w:r>
    </w:p>
    <w:p w:rsidR="003A46B7" w:rsidRPr="00BE1E2E" w:rsidRDefault="003A46B7" w:rsidP="003A46B7">
      <w:pPr>
        <w:autoSpaceDE w:val="0"/>
        <w:autoSpaceDN w:val="0"/>
        <w:adjustRightInd w:val="0"/>
        <w:rPr>
          <w:rFonts w:cs="Century Gothic"/>
        </w:rPr>
      </w:pPr>
      <w:r w:rsidRPr="00BE1E2E">
        <w:rPr>
          <w:rFonts w:cs="Century Gothic"/>
        </w:rPr>
        <w:t xml:space="preserve">Oil India Ltd </w:t>
      </w:r>
    </w:p>
    <w:p w:rsidR="003A46B7" w:rsidRPr="00BE1E2E" w:rsidRDefault="003A46B7" w:rsidP="003A46B7">
      <w:pPr>
        <w:autoSpaceDE w:val="0"/>
        <w:autoSpaceDN w:val="0"/>
        <w:adjustRightInd w:val="0"/>
        <w:rPr>
          <w:rFonts w:cs="Century Gothic"/>
        </w:rPr>
      </w:pPr>
      <w:r w:rsidRPr="00BE1E2E">
        <w:rPr>
          <w:rFonts w:cs="Century Gothic"/>
        </w:rPr>
        <w:t xml:space="preserve">OMV AG </w:t>
      </w:r>
    </w:p>
    <w:p w:rsidR="003A46B7" w:rsidRPr="00BE1E2E" w:rsidRDefault="003A46B7" w:rsidP="003A46B7">
      <w:pPr>
        <w:autoSpaceDE w:val="0"/>
        <w:autoSpaceDN w:val="0"/>
        <w:adjustRightInd w:val="0"/>
        <w:rPr>
          <w:rFonts w:cs="Century Gothic"/>
        </w:rPr>
      </w:pPr>
      <w:proofErr w:type="spellStart"/>
      <w:r w:rsidRPr="00BE1E2E">
        <w:rPr>
          <w:rFonts w:cs="Century Gothic"/>
        </w:rPr>
        <w:t>Outotec</w:t>
      </w:r>
      <w:proofErr w:type="spellEnd"/>
      <w:r w:rsidRPr="00BE1E2E">
        <w:rPr>
          <w:rFonts w:cs="Century Gothic"/>
        </w:rPr>
        <w:t xml:space="preserve"> </w:t>
      </w:r>
      <w:proofErr w:type="spellStart"/>
      <w:r w:rsidRPr="00BE1E2E">
        <w:rPr>
          <w:rFonts w:cs="Century Gothic"/>
        </w:rPr>
        <w:t>Oyj</w:t>
      </w:r>
      <w:proofErr w:type="spellEnd"/>
      <w:r w:rsidRPr="00BE1E2E">
        <w:rPr>
          <w:rFonts w:cs="Century Gothic"/>
        </w:rPr>
        <w:t xml:space="preserve"> </w:t>
      </w:r>
    </w:p>
    <w:p w:rsidR="003A46B7" w:rsidRPr="00BE1E2E" w:rsidRDefault="003A46B7" w:rsidP="003A46B7">
      <w:pPr>
        <w:autoSpaceDE w:val="0"/>
        <w:autoSpaceDN w:val="0"/>
        <w:adjustRightInd w:val="0"/>
        <w:rPr>
          <w:rFonts w:cs="Century Gothic"/>
        </w:rPr>
      </w:pPr>
      <w:proofErr w:type="spellStart"/>
      <w:r w:rsidRPr="00BE1E2E">
        <w:rPr>
          <w:rFonts w:cs="Century Gothic"/>
        </w:rPr>
        <w:t>PetroChina</w:t>
      </w:r>
      <w:proofErr w:type="spellEnd"/>
      <w:r w:rsidRPr="00BE1E2E">
        <w:rPr>
          <w:rFonts w:cs="Century Gothic"/>
        </w:rPr>
        <w:t xml:space="preserve"> Co. Ltd. </w:t>
      </w:r>
    </w:p>
    <w:p w:rsidR="003A46B7" w:rsidRPr="00BE1E2E" w:rsidRDefault="003A46B7" w:rsidP="003A46B7">
      <w:pPr>
        <w:autoSpaceDE w:val="0"/>
        <w:autoSpaceDN w:val="0"/>
        <w:adjustRightInd w:val="0"/>
        <w:rPr>
          <w:rFonts w:cs="Century Gothic"/>
        </w:rPr>
      </w:pPr>
      <w:proofErr w:type="spellStart"/>
      <w:r w:rsidRPr="00BE1E2E">
        <w:rPr>
          <w:rFonts w:cs="Century Gothic"/>
        </w:rPr>
        <w:t>Petrofac</w:t>
      </w:r>
      <w:proofErr w:type="spellEnd"/>
      <w:r w:rsidRPr="00BE1E2E">
        <w:rPr>
          <w:rFonts w:cs="Century Gothic"/>
        </w:rPr>
        <w:t xml:space="preserve"> </w:t>
      </w:r>
    </w:p>
    <w:p w:rsidR="003A46B7" w:rsidRPr="00BE1E2E" w:rsidRDefault="003A46B7" w:rsidP="003A46B7">
      <w:pPr>
        <w:autoSpaceDE w:val="0"/>
        <w:autoSpaceDN w:val="0"/>
        <w:adjustRightInd w:val="0"/>
        <w:rPr>
          <w:rFonts w:cs="Century Gothic"/>
        </w:rPr>
      </w:pPr>
      <w:proofErr w:type="spellStart"/>
      <w:r w:rsidRPr="00BE1E2E">
        <w:rPr>
          <w:rFonts w:cs="Century Gothic"/>
        </w:rPr>
        <w:t>Poyry</w:t>
      </w:r>
      <w:proofErr w:type="spellEnd"/>
      <w:r w:rsidRPr="00BE1E2E">
        <w:rPr>
          <w:rFonts w:cs="Century Gothic"/>
        </w:rPr>
        <w:t xml:space="preserve"> PLC </w:t>
      </w:r>
    </w:p>
    <w:p w:rsidR="003A46B7" w:rsidRPr="00BE1E2E" w:rsidRDefault="003A46B7" w:rsidP="003A46B7">
      <w:pPr>
        <w:autoSpaceDE w:val="0"/>
        <w:autoSpaceDN w:val="0"/>
        <w:adjustRightInd w:val="0"/>
        <w:rPr>
          <w:rFonts w:cs="Century Gothic"/>
        </w:rPr>
      </w:pPr>
      <w:r w:rsidRPr="00BE1E2E">
        <w:rPr>
          <w:rFonts w:cs="Century Gothic"/>
        </w:rPr>
        <w:t xml:space="preserve">PTT Public Company Limited </w:t>
      </w:r>
    </w:p>
    <w:p w:rsidR="003A46B7" w:rsidRPr="00BE1E2E" w:rsidRDefault="003A46B7" w:rsidP="003A46B7">
      <w:pPr>
        <w:autoSpaceDE w:val="0"/>
        <w:autoSpaceDN w:val="0"/>
        <w:adjustRightInd w:val="0"/>
        <w:rPr>
          <w:rFonts w:cs="Century Gothic"/>
        </w:rPr>
      </w:pPr>
      <w:proofErr w:type="spellStart"/>
      <w:proofErr w:type="gramStart"/>
      <w:r w:rsidRPr="00BE1E2E">
        <w:rPr>
          <w:rFonts w:cs="Century Gothic"/>
        </w:rPr>
        <w:t>Sinohydro</w:t>
      </w:r>
      <w:proofErr w:type="spellEnd"/>
      <w:r w:rsidRPr="00BE1E2E">
        <w:rPr>
          <w:rFonts w:cs="Century Gothic"/>
        </w:rPr>
        <w:t>.</w:t>
      </w:r>
      <w:proofErr w:type="gramEnd"/>
      <w:r w:rsidRPr="00BE1E2E">
        <w:rPr>
          <w:rFonts w:cs="Century Gothic"/>
        </w:rPr>
        <w:t xml:space="preserve"> Group, Ltd. </w:t>
      </w:r>
    </w:p>
    <w:p w:rsidR="003A46B7" w:rsidRPr="00BE1E2E" w:rsidRDefault="003A46B7" w:rsidP="003A46B7">
      <w:pPr>
        <w:autoSpaceDE w:val="0"/>
        <w:autoSpaceDN w:val="0"/>
        <w:adjustRightInd w:val="0"/>
        <w:rPr>
          <w:rFonts w:cs="Century Gothic"/>
        </w:rPr>
      </w:pPr>
      <w:r w:rsidRPr="00BE1E2E">
        <w:rPr>
          <w:rFonts w:cs="Century Gothic"/>
        </w:rPr>
        <w:t xml:space="preserve">SK Networks Co. Ltd. </w:t>
      </w:r>
    </w:p>
    <w:p w:rsidR="003A46B7" w:rsidRPr="00BE1E2E" w:rsidRDefault="003A46B7" w:rsidP="003A46B7">
      <w:pPr>
        <w:autoSpaceDE w:val="0"/>
        <w:autoSpaceDN w:val="0"/>
        <w:adjustRightInd w:val="0"/>
        <w:rPr>
          <w:rFonts w:cs="Century Gothic"/>
        </w:rPr>
      </w:pPr>
      <w:proofErr w:type="spellStart"/>
      <w:r w:rsidRPr="00BE1E2E">
        <w:rPr>
          <w:rFonts w:cs="Century Gothic"/>
        </w:rPr>
        <w:t>Technip</w:t>
      </w:r>
      <w:proofErr w:type="spellEnd"/>
      <w:r w:rsidRPr="00BE1E2E">
        <w:rPr>
          <w:rFonts w:cs="Century Gothic"/>
        </w:rPr>
        <w:t xml:space="preserve"> </w:t>
      </w:r>
    </w:p>
    <w:p w:rsidR="003A46B7" w:rsidRPr="00BE1E2E" w:rsidRDefault="003A46B7" w:rsidP="003A46B7">
      <w:pPr>
        <w:autoSpaceDE w:val="0"/>
        <w:autoSpaceDN w:val="0"/>
        <w:adjustRightInd w:val="0"/>
        <w:rPr>
          <w:rFonts w:cs="Century Gothic"/>
        </w:rPr>
      </w:pPr>
      <w:proofErr w:type="spellStart"/>
      <w:r w:rsidRPr="00BE1E2E">
        <w:rPr>
          <w:rFonts w:cs="Century Gothic"/>
        </w:rPr>
        <w:t>Tupolev</w:t>
      </w:r>
      <w:proofErr w:type="spellEnd"/>
      <w:r w:rsidRPr="00BE1E2E">
        <w:rPr>
          <w:rFonts w:cs="Century Gothic"/>
        </w:rPr>
        <w:t xml:space="preserve"> </w:t>
      </w:r>
      <w:proofErr w:type="spellStart"/>
      <w:r w:rsidRPr="00BE1E2E">
        <w:rPr>
          <w:rFonts w:cs="Century Gothic"/>
        </w:rPr>
        <w:t>Oao</w:t>
      </w:r>
      <w:proofErr w:type="spellEnd"/>
      <w:r w:rsidRPr="00BE1E2E">
        <w:rPr>
          <w:rFonts w:cs="Century Gothic"/>
        </w:rPr>
        <w:t xml:space="preserve"> </w:t>
      </w:r>
    </w:p>
    <w:p w:rsidR="003A46B7" w:rsidRPr="00BE1E2E" w:rsidRDefault="003A46B7" w:rsidP="003A46B7">
      <w:pPr>
        <w:autoSpaceDE w:val="0"/>
        <w:autoSpaceDN w:val="0"/>
        <w:adjustRightInd w:val="0"/>
        <w:rPr>
          <w:rFonts w:cs="Century Gothic"/>
        </w:rPr>
      </w:pPr>
      <w:r w:rsidRPr="00BE1E2E">
        <w:rPr>
          <w:rFonts w:cs="Century Gothic"/>
        </w:rPr>
        <w:t xml:space="preserve">UCL Resources Limited </w:t>
      </w:r>
    </w:p>
    <w:p w:rsidR="003A46B7" w:rsidRPr="00BE1E2E" w:rsidRDefault="003A46B7" w:rsidP="003A46B7">
      <w:pPr>
        <w:autoSpaceDE w:val="0"/>
        <w:autoSpaceDN w:val="0"/>
        <w:adjustRightInd w:val="0"/>
        <w:rPr>
          <w:rFonts w:cs="Century Gothic"/>
        </w:rPr>
      </w:pPr>
      <w:r w:rsidRPr="00BE1E2E">
        <w:rPr>
          <w:rFonts w:cs="Century Gothic"/>
        </w:rPr>
        <w:t xml:space="preserve">United Aircraft Corporation </w:t>
      </w:r>
    </w:p>
    <w:p w:rsidR="003A46B7" w:rsidRPr="00BE1E2E" w:rsidRDefault="003A46B7" w:rsidP="003A46B7">
      <w:proofErr w:type="spellStart"/>
      <w:r w:rsidRPr="00BE1E2E">
        <w:rPr>
          <w:rFonts w:cs="Century Gothic"/>
        </w:rPr>
        <w:t>Zio</w:t>
      </w:r>
      <w:proofErr w:type="spellEnd"/>
      <w:r w:rsidRPr="00BE1E2E">
        <w:rPr>
          <w:rFonts w:cs="Century Gothic"/>
        </w:rPr>
        <w:t xml:space="preserve"> Podolsk Machinery Plant </w:t>
      </w:r>
    </w:p>
    <w:p w:rsidR="003A46B7" w:rsidRDefault="003A46B7">
      <w:bookmarkStart w:id="0" w:name="_GoBack"/>
      <w:bookmarkEnd w:id="0"/>
    </w:p>
    <w:sectPr w:rsidR="003A4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B7"/>
    <w:rsid w:val="0033334B"/>
    <w:rsid w:val="003A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46B7"/>
    <w:pPr>
      <w:keepNext/>
      <w:jc w:val="center"/>
      <w:outlineLvl w:val="0"/>
    </w:pPr>
    <w:rPr>
      <w:b/>
      <w:sz w:val="22"/>
    </w:rPr>
  </w:style>
  <w:style w:type="paragraph" w:styleId="Heading2">
    <w:name w:val="heading 2"/>
    <w:basedOn w:val="Normal"/>
    <w:next w:val="Normal"/>
    <w:link w:val="Heading2Char"/>
    <w:qFormat/>
    <w:rsid w:val="003A46B7"/>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6B7"/>
    <w:rPr>
      <w:rFonts w:ascii="Times New Roman" w:eastAsia="Times New Roman" w:hAnsi="Times New Roman" w:cs="Times New Roman"/>
      <w:b/>
      <w:szCs w:val="20"/>
    </w:rPr>
  </w:style>
  <w:style w:type="character" w:customStyle="1" w:styleId="Heading2Char">
    <w:name w:val="Heading 2 Char"/>
    <w:basedOn w:val="DefaultParagraphFont"/>
    <w:link w:val="Heading2"/>
    <w:rsid w:val="003A46B7"/>
    <w:rPr>
      <w:rFonts w:ascii="Times New Roman" w:eastAsia="Times New Roman" w:hAnsi="Times New Roman" w:cs="Times New Roman"/>
      <w:sz w:val="24"/>
      <w:szCs w:val="20"/>
    </w:rPr>
  </w:style>
  <w:style w:type="paragraph" w:styleId="Title">
    <w:name w:val="Title"/>
    <w:basedOn w:val="Normal"/>
    <w:link w:val="TitleChar"/>
    <w:qFormat/>
    <w:rsid w:val="003A46B7"/>
    <w:pPr>
      <w:jc w:val="center"/>
    </w:pPr>
    <w:rPr>
      <w:b/>
      <w:sz w:val="28"/>
    </w:rPr>
  </w:style>
  <w:style w:type="character" w:customStyle="1" w:styleId="TitleChar">
    <w:name w:val="Title Char"/>
    <w:basedOn w:val="DefaultParagraphFont"/>
    <w:link w:val="Title"/>
    <w:rsid w:val="003A46B7"/>
    <w:rPr>
      <w:rFonts w:ascii="Times New Roman" w:eastAsia="Times New Roman" w:hAnsi="Times New Roman" w:cs="Times New Roman"/>
      <w:b/>
      <w:sz w:val="28"/>
      <w:szCs w:val="20"/>
    </w:rPr>
  </w:style>
  <w:style w:type="paragraph" w:styleId="BlockText">
    <w:name w:val="Block Text"/>
    <w:basedOn w:val="Normal"/>
    <w:semiHidden/>
    <w:rsid w:val="003A46B7"/>
    <w:pPr>
      <w:ind w:left="72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46B7"/>
    <w:pPr>
      <w:keepNext/>
      <w:jc w:val="center"/>
      <w:outlineLvl w:val="0"/>
    </w:pPr>
    <w:rPr>
      <w:b/>
      <w:sz w:val="22"/>
    </w:rPr>
  </w:style>
  <w:style w:type="paragraph" w:styleId="Heading2">
    <w:name w:val="heading 2"/>
    <w:basedOn w:val="Normal"/>
    <w:next w:val="Normal"/>
    <w:link w:val="Heading2Char"/>
    <w:qFormat/>
    <w:rsid w:val="003A46B7"/>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6B7"/>
    <w:rPr>
      <w:rFonts w:ascii="Times New Roman" w:eastAsia="Times New Roman" w:hAnsi="Times New Roman" w:cs="Times New Roman"/>
      <w:b/>
      <w:szCs w:val="20"/>
    </w:rPr>
  </w:style>
  <w:style w:type="character" w:customStyle="1" w:styleId="Heading2Char">
    <w:name w:val="Heading 2 Char"/>
    <w:basedOn w:val="DefaultParagraphFont"/>
    <w:link w:val="Heading2"/>
    <w:rsid w:val="003A46B7"/>
    <w:rPr>
      <w:rFonts w:ascii="Times New Roman" w:eastAsia="Times New Roman" w:hAnsi="Times New Roman" w:cs="Times New Roman"/>
      <w:sz w:val="24"/>
      <w:szCs w:val="20"/>
    </w:rPr>
  </w:style>
  <w:style w:type="paragraph" w:styleId="Title">
    <w:name w:val="Title"/>
    <w:basedOn w:val="Normal"/>
    <w:link w:val="TitleChar"/>
    <w:qFormat/>
    <w:rsid w:val="003A46B7"/>
    <w:pPr>
      <w:jc w:val="center"/>
    </w:pPr>
    <w:rPr>
      <w:b/>
      <w:sz w:val="28"/>
    </w:rPr>
  </w:style>
  <w:style w:type="character" w:customStyle="1" w:styleId="TitleChar">
    <w:name w:val="Title Char"/>
    <w:basedOn w:val="DefaultParagraphFont"/>
    <w:link w:val="Title"/>
    <w:rsid w:val="003A46B7"/>
    <w:rPr>
      <w:rFonts w:ascii="Times New Roman" w:eastAsia="Times New Roman" w:hAnsi="Times New Roman" w:cs="Times New Roman"/>
      <w:b/>
      <w:sz w:val="28"/>
      <w:szCs w:val="20"/>
    </w:rPr>
  </w:style>
  <w:style w:type="paragraph" w:styleId="BlockText">
    <w:name w:val="Block Text"/>
    <w:basedOn w:val="Normal"/>
    <w:semiHidden/>
    <w:rsid w:val="003A46B7"/>
    <w:pPr>
      <w:ind w:left="720" w:righ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Friedrichsen, Jake [TOS]</dc:creator>
  <cp:lastModifiedBy>Friedrichsen, Jake [TOS]</cp:lastModifiedBy>
  <cp:revision>1</cp:revision>
  <dcterms:created xsi:type="dcterms:W3CDTF">2013-09-27T14:39:00Z</dcterms:created>
  <dcterms:modified xsi:type="dcterms:W3CDTF">2013-09-27T14:40:00Z</dcterms:modified>
</cp:coreProperties>
</file>