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Review and approval.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shall review the waiver request at a regularly scheduled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request demonstrates that the alternative service is in the best operational or financial interest of the certifying user, the commission shall grant the waiver.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written determination shall be issued to the user following the commission’s decision.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