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751—2505.10</w:t>
      </w:r>
      <w:r>
        <w:rPr>
          <w:rFonts w:ascii="Times New Roman" w:hAnsi="Times New Roman"/>
          <w:b/>
          <w:i w:val="false"/>
          <w:color w:val="000000"/>
          <w:sz w:val="22"/>
        </w:rPr>
        <w:t xml:space="preserve">(8D) </w:t>
      </w:r>
      <w:r>
        <w:rPr>
          <w:rFonts w:ascii="Times New Roman" w:hAnsi="Times New Roman"/>
          <w:b/>
          <w:i w:val="false"/>
          <w:color w:val="000000"/>
          <w:sz w:val="22"/>
        </w:rPr>
        <w:t xml:space="preserve">Personally identifiable information and customer proprietary network information. </w:t>
      </w:r>
      <w:r>
        <w:rPr>
          <w:rFonts w:ascii="Times New Roman" w:hAnsi="Times New Roman"/>
          <w:b w:val="false"/>
          <w:i w:val="false"/>
          <w:color w:val="000000"/>
          <w:sz w:val="22"/>
        </w:rPr>
        <w:t>This rule describes the nature and extent of personally identifiable information and CPNI that is collected, maintained, and retrieved by the agency. The commission maintains the following primary records in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and payroll records. The agency maintains files containing information about employees, applicants, and dependents. The files include payroll records, biographical information, medical information, and performance reviews. These records are generally confidential pursuant to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Commission and advisory board records. These records contain information about commission and board members, including biographical and contact information. Portions of these records may be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Vendor, contractor, and authorized user files. These files contain information about individuals who do business with the agency or represent authorized users, including contact information, billing records, and related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and network data. The agency collects and maintains CPNI to route traffic, bill for services, and manage network operations. Consistent with federal law, CPNI is strictly confidential and shall not be disclosed to the public under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except as expressly authorized by the customer or required by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Litigation, contested case, and administrative files. These files contain information regarding litigation, rate disputes, vendor appeals, or administrative claims involving the agency. These records may contain confidential information protected by attorney-client privilege or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0681D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