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751—17.4</w:t>
      </w:r>
      <w:r>
        <w:rPr>
          <w:rFonts w:ascii="Times New Roman" w:hAnsi="Times New Roman"/>
          <w:b/>
          <w:i w:val="false"/>
          <w:color w:val="000000"/>
          <w:sz w:val="22"/>
        </w:rPr>
        <w:t xml:space="preserve">(8D) </w:t>
      </w:r>
      <w:r>
        <w:rPr>
          <w:rFonts w:ascii="Times New Roman" w:hAnsi="Times New Roman"/>
          <w:b/>
          <w:i w:val="false"/>
          <w:color w:val="000000"/>
          <w:sz w:val="22"/>
        </w:rPr>
        <w:t xml:space="preserve">Partnerships and shared use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may enter into shared use agreements or partnerships with public or private entities, including cities, municipalities, and other nonauthorized users, to maximize the operational efficiency of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val="false"/>
          <w:color w:val="000000"/>
          <w:sz w:val="22"/>
        </w:rPr>
        <w:t>Such partnerships shall be established to facilitate shared data connectivity, emergency management interoperability, or public safety services, provided such agreements do not violate statutory prohibitions against the provision of retail commercial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0690D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