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751—17.3</w:t>
      </w:r>
      <w:r>
        <w:rPr>
          <w:rFonts w:ascii="Times New Roman" w:hAnsi="Times New Roman"/>
          <w:b/>
          <w:i w:val="false"/>
          <w:color w:val="000000"/>
          <w:sz w:val="22"/>
        </w:rPr>
        <w:t xml:space="preserve">(8D) </w:t>
      </w:r>
      <w:r>
        <w:rPr>
          <w:rFonts w:ascii="Times New Roman" w:hAnsi="Times New Roman"/>
          <w:b/>
          <w:i w:val="false"/>
          <w:color w:val="000000"/>
          <w:sz w:val="22"/>
        </w:rPr>
        <w:t xml:space="preserve">Transfer and disposal of assets.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dispose of property or equipment under the agency’s ownership or control when the property or equipment becomes unnecessary, obsolete, or unfit for further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The agency may dispose of unnecessary or unfit property by sale, auction, broker, trade, consignment, or any other manner that maximizes the value to the state and fairly disposes of the property. Proceeds from the disposition of the property shall be retained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