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Privacy and content monitoring.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and its staff shall not monitor the content of transmissions on the network. Monitoring may only occur when necessary to effect trouble isolation and correction or to investigate a security violation or threat to the integrity of the network. Any such monitoring shall be kept to the absolute minimum necessary to resolve the issue.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