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751—10.4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authorized user aggrieved by a suspension or revocation may appeal the decision in accordance with the contested case procedures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