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Enforcement procedure.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the event of a violation, the executive director shall provide written notice to the authorized user describing the violation and requesting a remedy.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Immediate suspension.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may immediately suspend service without prior notice if the violation poses an immediate threat to the security or stability of the network.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Decertification.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violation is not remedied or is habitual, the commission may revoke the user’s authorization to connect to the network.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