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661—95.7</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firearms (intrastate). </w:t>
      </w:r>
      <w:r>
        <w:rPr>
          <w:rFonts w:ascii="Times New Roman" w:hAnsi="Times New Roman"/>
          <w:b w:val="false"/>
          <w:i w:val="false"/>
          <w:color w:val="000000"/>
          <w:sz w:val="22"/>
        </w:rPr>
        <w:t xml:space="preserve">Any firearm not entered in the firearms reference file pursuant to rule </w:t>
      </w:r>
      <w:hyperlink r:id="rId4">
        <w:r>
          <w:rPr>
            <w:rStyle w:val="Hyperlink"/>
            <w:rFonts w:ascii="Times New Roman" w:hAnsi="Times New Roman"/>
            <w:b w:val="false"/>
            <w:i w:val="false"/>
            <w:color w:val="000000"/>
            <w:sz w:val="22"/>
          </w:rPr>
          <w:t>661—95.4</w:t>
        </w:r>
      </w:hyperlink>
      <w:r>
        <w:rPr>
          <w:rFonts w:ascii="Times New Roman" w:hAnsi="Times New Roman"/>
          <w:b w:val="false"/>
          <w:i w:val="false"/>
          <w:color w:val="000000"/>
          <w:sz w:val="22"/>
        </w:rPr>
        <w:t xml:space="preserve">(809,809A) and still in the possession of the division of criminal investigation criminalistics laboratory pursuant to Iowa Code section </w:t>
      </w:r>
      <w:hyperlink r:id="rId5">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subsequent to the procedures set out in rules </w:t>
      </w:r>
      <w:hyperlink r:id="rId6">
        <w:r>
          <w:rPr>
            <w:rStyle w:val="Hyperlink"/>
            <w:rFonts w:ascii="Times New Roman" w:hAnsi="Times New Roman"/>
            <w:b w:val="false"/>
            <w:i w:val="false"/>
            <w:color w:val="000000"/>
            <w:sz w:val="22"/>
          </w:rPr>
          <w:t>661—95.5</w:t>
        </w:r>
      </w:hyperlink>
      <w:r>
        <w:rPr>
          <w:rFonts w:ascii="Times New Roman" w:hAnsi="Times New Roman"/>
          <w:b w:val="false"/>
          <w:i w:val="false"/>
          <w:color w:val="000000"/>
          <w:sz w:val="22"/>
        </w:rPr>
        <w:t xml:space="preserve">(809,809A) and </w:t>
      </w:r>
      <w:hyperlink r:id="rId7">
        <w:r>
          <w:rPr>
            <w:rStyle w:val="Hyperlink"/>
            <w:rFonts w:ascii="Times New Roman" w:hAnsi="Times New Roman"/>
            <w:b w:val="false"/>
            <w:i w:val="false"/>
            <w:color w:val="000000"/>
            <w:sz w:val="22"/>
          </w:rPr>
          <w:t>661—95.6</w:t>
        </w:r>
      </w:hyperlink>
      <w:r>
        <w:rPr>
          <w:rFonts w:ascii="Times New Roman" w:hAnsi="Times New Roman"/>
          <w:b w:val="false"/>
          <w:i w:val="false"/>
          <w:color w:val="000000"/>
          <w:sz w:val="22"/>
        </w:rPr>
        <w:t>(809A), shall be evaluated for usefulness to Iowa law enforcement agencies. Any firearm that is deemed suitable for law enforcement purposes may be distributed to an Iowa law enforcement agency that has made a request for such firearm. This distribution shall be made in accordance with the reasonable needs of the requesting agency as determined by the commissioner of public safety. Any firearm received by a law enforcement agency pursuant to this rule is for the internal use of the receiving agency and cannot be resold or otherwise distributed outside of the receiving agency, other than to be returned to the division of criminal investigation criminalistics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95.4.pdf" Type="http://schemas.openxmlformats.org/officeDocument/2006/relationships/hyperlink" Id="rId4"/>
    <Relationship TargetMode="External" Target="https://www.legis.iowa.gov/docs/ico/chapter/809A.17.pdf" Type="http://schemas.openxmlformats.org/officeDocument/2006/relationships/hyperlink" Id="rId5"/>
    <Relationship TargetMode="External" Target="https://www.legis.iowa.gov/docs/iac/rule/661.95.5.pdf" Type="http://schemas.openxmlformats.org/officeDocument/2006/relationships/hyperlink" Id="rId6"/>
    <Relationship TargetMode="External" Target="https://www.legis.iowa.gov/docs/iac/rule/661.95.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