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661—95.4</w:t>
      </w:r>
      <w:r>
        <w:rPr>
          <w:rFonts w:ascii="Times New Roman" w:hAnsi="Times New Roman"/>
          <w:b/>
          <w:i w:val="false"/>
          <w:color w:val="000000"/>
          <w:sz w:val="22"/>
        </w:rPr>
        <w:t xml:space="preserve">(809,809A) </w:t>
      </w:r>
      <w:r>
        <w:rPr>
          <w:rFonts w:ascii="Times New Roman" w:hAnsi="Times New Roman"/>
          <w:b/>
          <w:i w:val="false"/>
          <w:color w:val="000000"/>
          <w:sz w:val="22"/>
        </w:rPr>
        <w:t xml:space="preserve">Deposit of firearms in the firearms reference file. </w:t>
      </w:r>
      <w:r>
        <w:rPr>
          <w:rFonts w:ascii="Times New Roman" w:hAnsi="Times New Roman"/>
          <w:b w:val="false"/>
          <w:i w:val="false"/>
          <w:color w:val="000000"/>
          <w:sz w:val="22"/>
        </w:rPr>
        <w:t>There is established a division of criminal investigation criminalistics laboratory firearms reference file. Firearms submitted to the laboratory, other than firearms submitted solely for evidentiary examination, shall be evaluated as to their possible worth for testing and evaluation purposes. Any firearms deemed useful for such purposes shall be deposited in the firearms reference file.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0698D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