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661—95.3</w:t>
      </w:r>
      <w:r>
        <w:rPr>
          <w:rFonts w:ascii="Times New Roman" w:hAnsi="Times New Roman"/>
          <w:b/>
          <w:i w:val="false"/>
          <w:color w:val="000000"/>
          <w:sz w:val="22"/>
        </w:rPr>
        <w:t xml:space="preserve">(809,809A) </w:t>
      </w:r>
      <w:r>
        <w:rPr>
          <w:rFonts w:ascii="Times New Roman" w:hAnsi="Times New Roman"/>
          <w:b/>
          <w:i w:val="false"/>
          <w:color w:val="000000"/>
          <w:sz w:val="22"/>
        </w:rPr>
        <w:t xml:space="preserve">Firearms inventory. </w:t>
      </w:r>
      <w:r>
        <w:rPr>
          <w:rFonts w:ascii="Times New Roman" w:hAnsi="Times New Roman"/>
          <w:b w:val="false"/>
          <w:i w:val="false"/>
          <w:color w:val="000000"/>
          <w:sz w:val="22"/>
        </w:rPr>
        <w:t>There is established a continuous firearms inventory in the division of criminal investigation criminalistics laboratory. All firearms transactions covered by any of the provisions noted herein, other than receipts and returns of weapons for evidentiary examination, shall be recorded as and made a part of the continuous firearms inventory. Each individual entry in the inventory shall be maintained for a period of no less than 20 years. Inventory entries that refer to firearms retained in the firearms reference file shall be maintained permanently.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