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r>
        <w:rPr>
          <w:rFonts w:ascii="Times New Roman" w:hAnsi="Times New Roman"/>
          <w:b/>
          <w:i w:val="false"/>
          <w:color w:val="000000"/>
          <w:sz w:val="22"/>
        </w:rPr>
        <w:t>661—95.1</w:t>
      </w:r>
      <w:r>
        <w:rPr>
          <w:rFonts w:ascii="Times New Roman" w:hAnsi="Times New Roman"/>
          <w:b/>
          <w:i w:val="false"/>
          <w:color w:val="000000"/>
          <w:sz w:val="22"/>
        </w:rPr>
        <w:t xml:space="preserve">(809,809A)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 to the rules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“Ammunition reference file”</w:t>
      </w:r>
      <w:r>
        <w:rPr>
          <w:rFonts w:ascii="Times New Roman" w:hAnsi="Times New Roman"/>
          <w:b w:val="false"/>
          <w:i w:val="false"/>
          <w:color w:val="000000"/>
          <w:sz w:val="22"/>
        </w:rPr>
        <w:t> </w:t>
      </w:r>
      <w:r>
        <w:rPr>
          <w:rFonts w:ascii="Times New Roman" w:hAnsi="Times New Roman"/>
          <w:b w:val="false"/>
          <w:i w:val="false"/>
          <w:color w:val="000000"/>
          <w:sz w:val="22"/>
        </w:rPr>
        <w:t>means the physical collection of ammunition received, collected and maintained by the division of criminal investigation criminalistics laboratory for testing and evaluation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“Firearms inventory”</w:t>
      </w:r>
      <w:r>
        <w:rPr>
          <w:rFonts w:ascii="Times New Roman" w:hAnsi="Times New Roman"/>
          <w:b w:val="false"/>
          <w:i w:val="false"/>
          <w:color w:val="000000"/>
          <w:sz w:val="22"/>
        </w:rPr>
        <w:t> </w:t>
      </w:r>
      <w:r>
        <w:rPr>
          <w:rFonts w:ascii="Times New Roman" w:hAnsi="Times New Roman"/>
          <w:b w:val="false"/>
          <w:i w:val="false"/>
          <w:color w:val="000000"/>
          <w:sz w:val="22"/>
        </w:rPr>
        <w:t>means a listing of firearms received, collected, maintained, and disposed of by the division of criminal investigation criminalistics laboratory and of transactions regarding firearms completed by the laboratory. Firearms in the temporary custody of the laboratory for evidentiary examination are not included in the firearms inventory.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“Firearms reference file”</w:t>
      </w:r>
      <w:r>
        <w:rPr>
          <w:rFonts w:ascii="Times New Roman" w:hAnsi="Times New Roman"/>
          <w:b w:val="false"/>
          <w:i w:val="false"/>
          <w:color w:val="000000"/>
          <w:sz w:val="22"/>
        </w:rPr>
        <w:t> </w:t>
      </w:r>
      <w:r>
        <w:rPr>
          <w:rFonts w:ascii="Times New Roman" w:hAnsi="Times New Roman"/>
          <w:b w:val="false"/>
          <w:i w:val="false"/>
          <w:color w:val="000000"/>
          <w:sz w:val="22"/>
        </w:rPr>
        <w:t>means the physical collection of firearms received, collected and maintained by the division of criminal investigation criminalistics laboratory for comparison and identification purposes.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0698D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