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441—110.8</w:t>
      </w:r>
      <w:r>
        <w:rPr>
          <w:rFonts w:ascii="Times New Roman" w:hAnsi="Times New Roman"/>
          <w:b/>
          <w:i w:val="false"/>
          <w:color w:val="000000"/>
          <w:sz w:val="22"/>
        </w:rPr>
        <w:t xml:space="preserve">(237A) </w:t>
      </w:r>
      <w:r>
        <w:rPr>
          <w:rFonts w:ascii="Times New Roman" w:hAnsi="Times New Roman"/>
          <w:b/>
          <w:i w:val="false"/>
          <w:color w:val="000000"/>
          <w:sz w:val="22"/>
        </w:rPr>
        <w:t xml:space="preserve">Standards. </w:t>
      </w:r>
      <w:r>
        <w:rPr>
          <w:rFonts w:ascii="Times New Roman" w:hAnsi="Times New Roman"/>
          <w:b w:val="false"/>
          <w:i w:val="false"/>
          <w:color w:val="000000"/>
          <w:sz w:val="22"/>
        </w:rPr>
        <w:t>Conditions in the home shall be safe, sanitary, and free of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telephone with emergency numbers for police, fire, ambulance, and the poison information center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phone number for each child’s parent, and for a responsible person who can be reached when the parent is not available, shall be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travel vehicles must have a copy of emergency parent contact information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Electrical wiring shall be maintained, and all accessible electrical outlets shall be tamper-resistant outlets or shall be safely capped. Electrical cords shall be properly used and in the manner for which they were designed.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Combustible materials shall be kept a minimum of three feet away from furnaces, stoves, water heaters, and gas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Approved safety gates at stairways and doors shall be provided and used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safety barrier shall surround any heating stove or heating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2A 10BC-rated fire extinguisher located in a visible and readily accessible place on each child-occupied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single-station, battery-operated, UL-approved smoke detector in each child-occupied room and at the top of every stairway. The provider shall test each smoke detector monthly and keep a record of testing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complaints,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internet address of the department where complaints can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Homes served by a private sewage disposal system shall be operated and maintained to ensure the system is properly treating the wastewater and not creating an unsanitary condition in the environment. Discharge of untreated wastewater from private sewage disposal systems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provider operating in a facility built before 1978 shall assess and control lead hazards. To comply with this provision,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whether painted surfaces on the interior or exterior of the facility are chipping, peeling, cracking, or in need of repair. Painted surfaces include walls, ceilings, windows, doors, stairs, and woodwork;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painted surfaces are in need of repair, the home shall hire an Iowa certified lead-safe renovator to make repairs. Iowa lead-safe renovators shall apply interim controls on any chipping, peeling, or cracking paint found, using lead-safe work methods in accordance with and as defined by department as set forth in 481—Chapters </w:t>
      </w:r>
      <w:hyperlink r:id="rId4">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or nonregistered child care home shall be located in a single-family residence that is owned, rented, or leased by the person or, for dual registrations, at least one of the persons named on the child development home’s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6">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Providers shall inform parents of the presence of any pet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dog or cat in the household shall undergo an annual health examination by a licensed veterinarian. Veterinary examinations shall be documented on a veterinary health certificate or record of standard veterinary preventative care. This examination shall verify the animal’s routine immunizations are current and there is no evidence of endoparasites and ectoparasites.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Aquariums shall be well maintained and installed in a manner that prevents children from accessing the water or pulling over a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animal waste shall be immediately removed from the children’s areas and properly disposed of. Children cannot perform any feeding or care of pets or cleanup of pet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animals shall be allowed in the food preparation, food storage, or serving areas during food preparation and serving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Using an injury report form, the provider shall document all injuries needing first aid or medical care. The form shall be completed on the date of occurrence, shared with the parent, and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regarding the care of mildly ill children and the exclusion of children due to illness and shall inform parents of these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policy and procedures for responding to health-related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certificate of registration shall be displayed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as defined in Iowa Code section </w:t>
      </w:r>
      <w:hyperlink r:id="rId7">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that occur in a child care facility or when a child is in the care of child care facility staff shall be reported to the department within 24 hours of the incident. Serious injuries shall be documented and information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110.8(2)</w:t>
      </w:r>
      <w:r>
        <w:rPr>
          <w:rFonts w:ascii="Times New Roman" w:hAnsi="Times New Roman"/>
          <w:b w:val="false"/>
          <w:i w:val="false"/>
          <w:color w:val="000000"/>
          <w:sz w:val="22"/>
        </w:rPr>
        <w:t> </w:t>
      </w:r>
      <w:r>
        <w:rPr>
          <w:rFonts w:ascii="Times New Roman" w:hAnsi="Times New Roman"/>
          <w:b w:val="false"/>
          <w:i/>
          <w:color w:val="000000"/>
          <w:sz w:val="22"/>
        </w:rPr>
        <w:t xml:space="preserve">Use of outdoor 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safe outdoor play area shall be maintained in good condition throughout the year. The play area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fenced off when located on a busy thoroughfare or near a hazard that could be injurious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both sunshine and shade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kept free from litter, rubbish, and 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free from contamination by the drainage or ponding of sewage, household waste,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a swimming or wading pool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wading pool shall be drained daily and shall be inaccessible to children when it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aboveground or in-ground swimming pool that is not fenced shall be covered whenever the pool is not in use. The cover shall meet or exceed the standards set forth by ASTM International intended to reduce the risk of drowning by inhibiting access to the water by children under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uncovered aboveground swimming pool shall be enclosed with an approved fence that is nonclimbable and is at least four feet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uncovered in-ground swimming pool shall be enclosed with an approved fence that is nonclimbable and is at least four feet high and flush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children are allowed to use an aboveground or in-ground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parents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needed to rescue a child or adult shall be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accompany the children and provide constant supervision while the children use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complete training in cardiopulmonary resuscitation (CPR) for infants, toddlers, and children, according to the criteria of the American Red Cross or the American Heart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110.8(3)</w:t>
      </w:r>
      <w:r>
        <w:rPr>
          <w:rFonts w:ascii="Times New Roman" w:hAnsi="Times New Roman"/>
          <w:b w:val="false"/>
          <w:i w:val="false"/>
          <w:color w:val="000000"/>
          <w:sz w:val="22"/>
        </w:rPr>
        <w:t> </w:t>
      </w:r>
      <w:r>
        <w:rPr>
          <w:rFonts w:ascii="Times New Roman" w:hAnsi="Times New Roman"/>
          <w:b w:val="false"/>
          <w:i/>
          <w:color w:val="000000"/>
          <w:sz w:val="22"/>
        </w:rPr>
        <w:t xml:space="preserve">Medications and hazardous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medicines and poisonous, toxic, or otherwise unsafe materials shall be secured from access by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first aid kit shall be available and easily accessible whenever children are in the child development home or nonregistered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tweezers, and disposable plastic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stored in a separate, covered container to prevent contamination of food or other medications. All medications shall be stored so they are inaccessible to children. Any medication administered to a child shall be recorded, including the name of the medication, the date and time of administration, and the amount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establish procedures related to infectious disease control and handling of any bodily excrement or discharge or blood. Soiled diapers shall be stored in containers separate from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110.8(4)</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Emergency plans in case of human-made or natural disaster shall be written and posted by the primary and secondary exits. The plans shall clearly map building evacuation routes and tornado and flood shelter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and tornado drills shall be practiced monthly, and the provider shall keep documentation evidencing compliance with monthly practice on file for the current year and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must have procedures in place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where the child is when it is unsafe to leave that location due to the emergent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plans for reunification with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physical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110.8(5)</w:t>
      </w:r>
      <w:r>
        <w:rPr>
          <w:rFonts w:ascii="Times New Roman" w:hAnsi="Times New Roman"/>
          <w:b w:val="false"/>
          <w:i w:val="false"/>
          <w:color w:val="000000"/>
          <w:sz w:val="22"/>
        </w:rPr>
        <w:t> </w:t>
      </w:r>
      <w:r>
        <w:rPr>
          <w:rFonts w:ascii="Times New Roman" w:hAnsi="Times New Roman"/>
          <w:b w:val="false"/>
          <w:i/>
          <w:color w:val="000000"/>
          <w:sz w:val="22"/>
        </w:rPr>
        <w:t xml:space="preserve">Safe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as recommended by the American Academy of Pediatrics for infants under the age of one. Infant sleep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tight-fitted sheet that meets U.S. Consumer Product Safety Commission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cannot be allowed to sleep on a bed, sofa, air mattress, or other soft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associate authorization with statement of medical reason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child shall be allowed to sleep in any item not designed for sleeping, such as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the age and weight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110.8(6)</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Discipline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or discomfort to the child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Punishment cannot be administered because of a child’s illness, or progress or lack of progress in toilet training, nor shall punishment or threat of punishment be associated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Discipline shall emphasize prevention by having clear and consistent rules and by teaching children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110.8(7)</w:t>
      </w:r>
      <w:r>
        <w:rPr>
          <w:rFonts w:ascii="Times New Roman" w:hAnsi="Times New Roman"/>
          <w:b w:val="false"/>
          <w:i w:val="false"/>
          <w:color w:val="000000"/>
          <w:sz w:val="22"/>
        </w:rPr>
        <w:t> </w:t>
      </w:r>
      <w:r>
        <w:rPr>
          <w:rFonts w:ascii="Times New Roman" w:hAnsi="Times New Roman"/>
          <w:b w:val="false"/>
          <w:i/>
          <w:color w:val="000000"/>
          <w:sz w:val="22"/>
        </w:rPr>
        <w:t xml:space="preserve">Meals and snacks.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child development homes shall provide regular meals, midmorning snacks, and midafternoon snacks.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meals and snacks shall be well-balanced, nourishing, and in appropriate amounts as defined by the United States Department of Agriculture (USDA) Child and Adult Care Food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Nonregistered child care homes do not have to meet the USDA Child and Adult Care Food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may bring food to the child development home or nonregistered child care home for their own consumption but cannot be required to provide their own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sanitary drinking water shall be readily available to children in indoor and outdoor areas throughout the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110.8(8)</w:t>
      </w:r>
      <w:r>
        <w:rPr>
          <w:rFonts w:ascii="Times New Roman" w:hAnsi="Times New Roman"/>
          <w:b w:val="false"/>
          <w:i w:val="false"/>
          <w:color w:val="000000"/>
          <w:sz w:val="22"/>
        </w:rPr>
        <w:t> </w:t>
      </w:r>
      <w:r>
        <w:rPr>
          <w:rFonts w:ascii="Times New Roman" w:hAnsi="Times New Roman"/>
          <w:b w:val="false"/>
          <w:i/>
          <w:color w:val="000000"/>
          <w:sz w:val="22"/>
        </w:rPr>
        <w:t xml:space="preserve">Activity program. </w:t>
      </w:r>
      <w:r>
        <w:rPr>
          <w:rFonts w:ascii="Times New Roman" w:hAnsi="Times New Roman"/>
          <w:b w:val="false"/>
          <w:i w:val="false"/>
          <w:color w:val="000000"/>
          <w:sz w:val="22"/>
        </w:rPr>
        <w:t>There shall be an activity program that promotes self-esteem and exploration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Quiet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for large-muscle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Activities for small-muscle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 equipment and materials in a safe condition, for both indoor and outdoor activities that are developmentally appropriate for the ages and number of children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469.pdf" Type="http://schemas.openxmlformats.org/officeDocument/2006/relationships/hyperlink" Id="rId4"/>
    <Relationship TargetMode="External" Target="https://www.legis.iowa.gov/docs/iac/chapter/481.470.pdf" Type="http://schemas.openxmlformats.org/officeDocument/2006/relationships/hyperlink" Id="rId5"/>
    <Relationship TargetMode="External" Target="https://www.legis.iowa.gov/docs/ico/chapter/321.446.pdf" Type="http://schemas.openxmlformats.org/officeDocument/2006/relationships/hyperlink" Id="rId6"/>
    <Relationship TargetMode="External" Target="https://www.legis.iowa.gov/docs/ico/chapter/702.1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