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441—110.5</w:t>
      </w:r>
      <w:r>
        <w:rPr>
          <w:rFonts w:ascii="Times New Roman" w:hAnsi="Times New Roman"/>
          <w:b/>
          <w:i w:val="false"/>
          <w:color w:val="000000"/>
          <w:sz w:val="22"/>
        </w:rPr>
        <w:t xml:space="preserve">(237A) </w:t>
      </w:r>
      <w:r>
        <w:rPr>
          <w:rFonts w:ascii="Times New Roman" w:hAnsi="Times New Roman"/>
          <w:b/>
          <w:i w:val="false"/>
          <w:color w:val="000000"/>
          <w:sz w:val="22"/>
        </w:rPr>
        <w:t xml:space="preserve">Parental access. </w:t>
      </w:r>
      <w:r>
        <w:rPr>
          <w:rFonts w:ascii="Times New Roman" w:hAnsi="Times New Roman"/>
          <w:b w:val="false"/>
          <w:i w:val="false"/>
          <w:color w:val="000000"/>
          <w:sz w:val="22"/>
        </w:rPr>
        <w:t>Parents shall be afforded unlimited access to their children and to the people caring for their children during the normal hours of operation or whenever their children are in the care of the child development home or nonregistered child care home unless parental contact is prohibited by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