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441—110.4</w:t>
      </w:r>
      <w:r>
        <w:rPr>
          <w:rFonts w:ascii="Times New Roman" w:hAnsi="Times New Roman"/>
          <w:b/>
          <w:i w:val="false"/>
          <w:color w:val="000000"/>
          <w:sz w:val="22"/>
        </w:rPr>
        <w:t xml:space="preserve">(237A) </w:t>
      </w:r>
      <w:r>
        <w:rPr>
          <w:rFonts w:ascii="Times New Roman" w:hAnsi="Times New Roman"/>
          <w:b/>
          <w:i w:val="false"/>
          <w:color w:val="000000"/>
          <w:sz w:val="22"/>
        </w:rPr>
        <w:t xml:space="preserve">Compliance checks. </w:t>
      </w:r>
      <w:r>
        <w:rPr>
          <w:rFonts w:ascii="Times New Roman" w:hAnsi="Times New Roman"/>
          <w:b w:val="false"/>
          <w:i w:val="false"/>
          <w:color w:val="000000"/>
          <w:sz w:val="22"/>
        </w:rPr>
        <w:t>Prior to child development home registration, a site visit to inspect for compliance with health, safety, and fire standards will be completed. An unannounced compliance visit will be conducted not less than annually to each child development home and nonregistered child care home.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