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441—110.16</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C with co-provider. </w:t>
      </w:r>
      <w:r>
        <w:rPr>
          <w:rFonts w:ascii="Times New Roman" w:hAnsi="Times New Roman"/>
          <w:b w:val="false"/>
          <w:i w:val="false"/>
          <w:color w:val="000000"/>
          <w:sz w:val="22"/>
        </w:rPr>
        <w:t xml:space="preserve">In addition to the requirements in rule </w:t>
      </w:r>
      <w:hyperlink r:id="rId4">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C with a co-provider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14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14 children, no more than 6 children who are 24 months of age or younger shall be present at any one time. Whenever four children who are under the age of 12 months are in care, both providers shall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14 children not in school, no more than 2 children who attend school can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16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more than eight children are present, both providers shall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a high school diploma, a GED, or documentation of current or previous enrollment in credit-based coursework from a postsecondary educational institution that is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as a registered or nonregistered child care provider or a child care center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development associate credential or any two-year or four-year degree in a child care- related field and four years of experience as a registered or nonregistered child care home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co-provider shall meet the requirements of subrule </w:t>
      </w:r>
      <w:hyperlink r:id="rId5">
        <w:r>
          <w:rPr>
            <w:rStyle w:val="Hyperlink"/>
            <w:rFonts w:ascii="Times New Roman" w:hAnsi="Times New Roman"/>
            <w:b w:val="false"/>
            <w:i w:val="false"/>
            <w:color w:val="000000"/>
            <w:sz w:val="22"/>
          </w:rPr>
          <w:t>110.14(2)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more than two named providers shall be allowed on a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35 square feet of child-use floor space for each child in care indoors, and a minimum of 50 square feet per child in care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shall have a separate quiet area for sick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two direct exits to the outside from the main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exits shall terminate at grade level with permanent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Occupancy above the second floor cannot be permitted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10.8.pdf" Type="http://schemas.openxmlformats.org/officeDocument/2006/relationships/hyperlink" Id="rId4"/>
    <Relationship TargetMode="External" Target="https://www.legis.iowa.gov/docs/iac/rule/441.110.1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