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441—110.15</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C without a co-provider. </w:t>
      </w:r>
      <w:r>
        <w:rPr>
          <w:rFonts w:ascii="Times New Roman" w:hAnsi="Times New Roman"/>
          <w:b w:val="false"/>
          <w:i w:val="false"/>
          <w:color w:val="000000"/>
          <w:sz w:val="22"/>
        </w:rPr>
        <w:t xml:space="preserve">In addition to the requirements in rule </w:t>
      </w:r>
      <w:hyperlink r:id="rId4">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C without a co-provider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eight children, no more than four children who are 24 months of age or younger shall be present at any one time. Of these four children, no more than three can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eight children not in school, no more than four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12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as a registered, nonregistered child care provider, child care center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development associate credential or any two-year or four-year degree in a child care-related field and four years of experience as a registered or nonregistered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cannot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0.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