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441—110.13</w:t>
      </w:r>
      <w:r>
        <w:rPr>
          <w:rFonts w:ascii="Times New Roman" w:hAnsi="Times New Roman"/>
          <w:b/>
          <w:i w:val="false"/>
          <w:color w:val="000000"/>
          <w:sz w:val="22"/>
        </w:rPr>
        <w:t xml:space="preserve">(237A) </w:t>
      </w:r>
      <w:r>
        <w:rPr>
          <w:rFonts w:ascii="Times New Roman" w:hAnsi="Times New Roman"/>
          <w:b/>
          <w:i w:val="false"/>
          <w:color w:val="000000"/>
          <w:sz w:val="22"/>
        </w:rPr>
        <w:t xml:space="preserve">Additional requirements for child development home category A. </w:t>
      </w:r>
      <w:r>
        <w:rPr>
          <w:rFonts w:ascii="Times New Roman" w:hAnsi="Times New Roman"/>
          <w:b w:val="false"/>
          <w:i w:val="false"/>
          <w:color w:val="000000"/>
          <w:sz w:val="22"/>
        </w:rPr>
        <w:t xml:space="preserve">In addition to the requirements in rule </w:t>
      </w:r>
      <w:hyperlink r:id="rId4">
        <w:r>
          <w:rPr>
            <w:rStyle w:val="Hyperlink"/>
            <w:rFonts w:ascii="Times New Roman" w:hAnsi="Times New Roman"/>
            <w:b w:val="false"/>
            <w:i w:val="false"/>
            <w:color w:val="000000"/>
            <w:sz w:val="22"/>
          </w:rPr>
          <w:t>441—110.8</w:t>
        </w:r>
      </w:hyperlink>
      <w:r>
        <w:rPr>
          <w:rFonts w:ascii="Times New Roman" w:hAnsi="Times New Roman"/>
          <w:b w:val="false"/>
          <w:i w:val="false"/>
          <w:color w:val="000000"/>
          <w:sz w:val="22"/>
        </w:rPr>
        <w:t>(237A), a provider requesting registration in child development home category A shall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110.13(1)</w:t>
      </w:r>
      <w:r>
        <w:rPr>
          <w:rFonts w:ascii="Times New Roman" w:hAnsi="Times New Roman"/>
          <w:b w:val="false"/>
          <w:i w:val="false"/>
          <w:color w:val="000000"/>
          <w:sz w:val="22"/>
        </w:rPr>
        <w:t> </w:t>
      </w:r>
      <w:r>
        <w:rPr>
          <w:rFonts w:ascii="Times New Roman" w:hAnsi="Times New Roman"/>
          <w:b w:val="false"/>
          <w:i/>
          <w:color w:val="000000"/>
          <w:sz w:val="22"/>
        </w:rPr>
        <w:t xml:space="preserve">Limits on number of children in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more than six children not attending kindergarten or a higher grade level shall be present at any one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Of these six children, no more than four children who are 24 months of age or younger shall be present at any one time. Of these four children, no more than three can be 12 months of age or younger.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addition to the six children not in school, no more than two children who attend school can 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more than eight children shall be present at any one time when an emergency school closing is in effect.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110.13(2)</w:t>
      </w:r>
      <w:r>
        <w:rPr>
          <w:rFonts w:ascii="Times New Roman" w:hAnsi="Times New Roman"/>
          <w:b w:val="false"/>
          <w:i w:val="false"/>
          <w:color w:val="000000"/>
          <w:sz w:val="22"/>
        </w:rPr>
        <w:t> </w:t>
      </w:r>
      <w:r>
        <w:rPr>
          <w:rFonts w:ascii="Times New Roman" w:hAnsi="Times New Roman"/>
          <w:b w:val="false"/>
          <w:i/>
          <w:color w:val="000000"/>
          <w:sz w:val="22"/>
        </w:rPr>
        <w:t xml:space="preserve">Provider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provider shall be at least 18 years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shall have three written references that attest to character and ability to provide child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0691D</w:t>
      </w:r>
      <w:r>
        <w:rPr>
          <w:rFonts w:ascii="Times New Roman" w:hAnsi="Times New Roman"/>
          <w:b w:val="false"/>
          <w:i w:val="false"/>
          <w:color w:val="000000"/>
          <w:sz w:val="16"/>
        </w:rPr>
        <w:t>, IAB 10/28/26, effective 1/1/27</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110.8.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