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441—110.12</w:t>
      </w:r>
      <w:r>
        <w:rPr>
          <w:rFonts w:ascii="Times New Roman" w:hAnsi="Times New Roman"/>
          <w:b/>
          <w:i w:val="false"/>
          <w:color w:val="000000"/>
          <w:sz w:val="22"/>
        </w:rPr>
        <w:t xml:space="preserve">(237A) </w:t>
      </w:r>
      <w:r>
        <w:rPr>
          <w:rFonts w:ascii="Times New Roman" w:hAnsi="Times New Roman"/>
          <w:b/>
          <w:i w:val="false"/>
          <w:color w:val="000000"/>
          <w:sz w:val="22"/>
        </w:rPr>
        <w:t xml:space="preserve">Complaints. </w:t>
      </w:r>
      <w:r>
        <w:rPr>
          <w:rFonts w:ascii="Times New Roman" w:hAnsi="Times New Roman"/>
          <w:b w:val="false"/>
          <w:i w:val="false"/>
          <w:color w:val="000000"/>
          <w:sz w:val="22"/>
        </w:rPr>
        <w:t>The department will conduct a visit when a complaint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110.12(1)</w:t>
      </w:r>
      <w:r>
        <w:rPr>
          <w:rFonts w:ascii="Times New Roman" w:hAnsi="Times New Roman"/>
          <w:b w:val="false"/>
          <w:i w:val="false"/>
          <w:color w:val="000000"/>
          <w:sz w:val="22"/>
        </w:rPr>
        <w:t> </w:t>
      </w:r>
      <w:r>
        <w:rPr>
          <w:rFonts w:ascii="Times New Roman" w:hAnsi="Times New Roman"/>
          <w:b w:val="false"/>
          <w:i w:val="false"/>
          <w:color w:val="000000"/>
          <w:sz w:val="22"/>
        </w:rPr>
        <w:t>After each complaint visit, the department will document whether the child development home or nonregistered child care home was in compliance with health and safety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110.12(2)</w:t>
      </w:r>
      <w:r>
        <w:rPr>
          <w:rFonts w:ascii="Times New Roman" w:hAnsi="Times New Roman"/>
          <w:b w:val="false"/>
          <w:i w:val="false"/>
          <w:color w:val="000000"/>
          <w:sz w:val="22"/>
        </w:rPr>
        <w:t> </w:t>
      </w:r>
      <w:r>
        <w:rPr>
          <w:rFonts w:ascii="Times New Roman" w:hAnsi="Times New Roman"/>
          <w:b w:val="false"/>
          <w:i w:val="false"/>
          <w:color w:val="000000"/>
          <w:sz w:val="22"/>
        </w:rPr>
        <w:t>The written documentation of the department’s conclusion as to whether the child development home or nonregistered child care home was in compliance with requirements will be available to the public. However, the identity of all complainants will be confidential unless expressly waived by the complainant.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0691D</w:t>
      </w:r>
      <w:r>
        <w:rPr>
          <w:rFonts w:ascii="Times New Roman" w:hAnsi="Times New Roman"/>
          <w:b w:val="false"/>
          <w:i w:val="false"/>
          <w:color w:val="000000"/>
          <w:sz w:val="16"/>
        </w:rPr>
        <w:t>, IAB 10/28/26, effective 1/1/27</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