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441—110.11</w:t>
      </w:r>
      <w:r>
        <w:rPr>
          <w:rFonts w:ascii="Times New Roman" w:hAnsi="Times New Roman"/>
          <w:b/>
          <w:i w:val="false"/>
          <w:color w:val="000000"/>
          <w:sz w:val="22"/>
        </w:rPr>
        <w:t xml:space="preserve">(237A) </w:t>
      </w:r>
      <w:r>
        <w:rPr>
          <w:rFonts w:ascii="Times New Roman" w:hAnsi="Times New Roman"/>
          <w:b/>
          <w:i w:val="false"/>
          <w:color w:val="000000"/>
          <w:sz w:val="22"/>
        </w:rPr>
        <w:t xml:space="preserve">Child development home registration; child care assistance provider agreement and payment application for nonregistered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110.11(1)</w:t>
      </w:r>
      <w:r>
        <w:rPr>
          <w:rFonts w:ascii="Times New Roman" w:hAnsi="Times New Roman"/>
          <w:b w:val="false"/>
          <w:i w:val="false"/>
          <w:color w:val="000000"/>
          <w:sz w:val="22"/>
        </w:rPr>
        <w:t> </w:t>
      </w:r>
      <w:r>
        <w:rPr>
          <w:rFonts w:ascii="Times New Roman" w:hAnsi="Times New Roman"/>
          <w:b w:val="false"/>
          <w:i w:val="false"/>
          <w:color w:val="000000"/>
          <w:sz w:val="22"/>
        </w:rPr>
        <w:t>Child development home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Registration form when an applicant meets all requirements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Registration will be denied or revoked if the department finds a hazard to the safety and well-being of a child and the provider cannot correct or refuses to correct the hazard, even though the hazard may not have been specifically listed under the health and safety rules. Registration may also be denied or revoked if the department determines that the provider has failed to comply with standards imposed by law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110.11(2)</w:t>
      </w:r>
      <w:r>
        <w:rPr>
          <w:rFonts w:ascii="Times New Roman" w:hAnsi="Times New Roman"/>
          <w:b w:val="false"/>
          <w:i w:val="false"/>
          <w:color w:val="000000"/>
          <w:sz w:val="22"/>
        </w:rPr>
        <w:t> </w:t>
      </w:r>
      <w:r>
        <w:rPr>
          <w:rFonts w:ascii="Times New Roman" w:hAnsi="Times New Roman"/>
          <w:b w:val="false"/>
          <w:i w:val="false"/>
          <w:color w:val="000000"/>
          <w:sz w:val="22"/>
        </w:rPr>
        <w:t>Child care assistance provider agreement and payment application for nonregistered providers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a payment agreement application when an applicant meets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care assistance provider agreement will be denied or revoked if the department finds a hazard to the safety and well-being of a child and the provider cannot correct or refuses to correct the hazard, even though the hazard may not have been specifically listed under the health and safety rules. The child care assistance provider agreement may also be denied or revoked if the department determines that the provider has failed to comply with standards imposed by law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110.11(3)</w:t>
      </w:r>
      <w:r>
        <w:rPr>
          <w:rFonts w:ascii="Times New Roman" w:hAnsi="Times New Roman"/>
          <w:b w:val="false"/>
          <w:i w:val="false"/>
          <w:color w:val="000000"/>
          <w:sz w:val="22"/>
        </w:rPr>
        <w:t> </w:t>
      </w:r>
      <w:r>
        <w:rPr>
          <w:rFonts w:ascii="Times New Roman" w:hAnsi="Times New Roman"/>
          <w:b w:val="false"/>
          <w:i w:val="false"/>
          <w:color w:val="000000"/>
          <w:sz w:val="22"/>
        </w:rPr>
        <w:t>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and national record checks. </w:t>
      </w:r>
      <w:r>
        <w:rPr>
          <w:rFonts w:ascii="Times New Roman" w:hAnsi="Times New Roman"/>
          <w:b w:val="false"/>
          <w:i w:val="false"/>
          <w:color w:val="000000"/>
          <w:sz w:val="22"/>
        </w:rPr>
        <w:t xml:space="preserve">The department will conduct Iowa criminal history record and child abuse record checks for each registrant, substitute or staff member, anyone living in the home who is 14 years of age or older, and anyone having access to a child when the child is alone. The department will conduct national criminal history record checks, based on fingerprints, for each registrant, substitute or staff member, anyone living in the home who is 18 years of age or older, and anyone 18 years of age or older having access to a child when the child is alone. In accordance with Iowa Code section </w:t>
      </w:r>
      <w:hyperlink r:id="rId4">
        <w:r>
          <w:rPr>
            <w:rStyle w:val="Hyperlink"/>
            <w:rFonts w:ascii="Times New Roman" w:hAnsi="Times New Roman"/>
            <w:b w:val="false"/>
            <w:i w:val="false"/>
            <w:color w:val="000000"/>
            <w:sz w:val="22"/>
          </w:rPr>
          <w:t>726.23</w:t>
        </w:r>
      </w:hyperlink>
      <w:r>
        <w:rPr>
          <w:rFonts w:ascii="Times New Roman" w:hAnsi="Times New Roman"/>
          <w:b w:val="false"/>
          <w:i w:val="false"/>
          <w:color w:val="000000"/>
          <w:sz w:val="22"/>
        </w:rPr>
        <w:t>, minors under the age of 18 will not be subject to the fingerprint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record checks is to determine whether a person has committed a transgression that prohibits or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conduct criminal history record and child abuse record checks in other states and may conduct dependent adult abuse, sex offender registry, and other public or civil offense record checks in Iowa or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person subject to record checks shall complete the Record Check Authorization form, Waiver Agreement form, federal fingerprint card,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history records will be completed before the person’s involvement with child care. Iowa records checks will be repeated at a minimum of every two years and when the department or the registrant becomes aware of any possible transgressions committed by that person. The department is responsible for the cost of conducting the Iowa records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record checks. </w:t>
      </w:r>
      <w:r>
        <w:rPr>
          <w:rFonts w:ascii="Times New Roman" w:hAnsi="Times New Roman"/>
          <w:b w:val="false"/>
          <w:i w:val="false"/>
          <w:color w:val="000000"/>
          <w:sz w:val="22"/>
        </w:rPr>
        <w:t>Fingerprint-based checks of national criminal history records will also be completed before a person’s involvement with child care. This requirement will be for an initial application for registration or a renewal application for registration. The national criminal history record check will be repeated for each person subject to the check every four years and when the department or registrant becomes aware of any new transgressions committed by that person in another state. The department is responsible for the cost of conducting the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registrant/provider is responsible for any costs associated with the taking of fingerprints of all persons subject to record checks and for submitting the fingerprints to the department so that the national criminal history record check can be completed. Fingerprints may be taken (rolled) by law enforcement agencies or by agencies or companies that specialize in taking fingerprints and are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fingerprints to the department of public safety no later than ten business days after receipt of the fingerprint cards. The department will submit the fingerprints on forms or in a manner prescribed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rely on the results of previously conducted national criminal history record checks when a person subject to a record check in one child development home or child care home submits a request for involvement with child care in another child development home or child care home, so long as the person’s national criminal history record check is within the allowable four-year time frame. All initial or new applications shall require a new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and mandatory time-limited prohibition. </w:t>
      </w:r>
      <w:r>
        <w:rPr>
          <w:rFonts w:ascii="Times New Roman" w:hAnsi="Times New Roman"/>
          <w:b w:val="false"/>
          <w:i w:val="false"/>
          <w:color w:val="000000"/>
          <w:sz w:val="22"/>
        </w:rPr>
        <w:t xml:space="preserve">A person with any convictions or founded abuse reports as defined in Iowa Code section </w:t>
      </w:r>
      <w:hyperlink r:id="rId5">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“i”</w:t>
      </w:r>
      <w:r>
        <w:rPr>
          <w:rFonts w:ascii="Times New Roman" w:hAnsi="Times New Roman"/>
          <w:b w:val="false"/>
          <w:i w:val="false"/>
          <w:color w:val="000000"/>
          <w:sz w:val="22"/>
        </w:rPr>
        <w:t xml:space="preserve">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For all other transgressions, and as requested, the department will evaluate the transgression and make a decision about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shall complete and return the Record Check Evaluation form within ten calendar days of the date on the form. The department will use the information the person with the transgression provides on this form to assist in the evaluation. Failure of the person with the transgression to complete and return this form within ten calendar days of the date on the form shall result in denial or revocation of the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person subject to a record check has a transgression that has been determined in a previous evaluation not to warrant prohibition of the person’s involvement with child care and the person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by the department in the previous evaluation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may request a reevaluation of the record check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has final authority in determining whether prohibition of the person’s involvement with child care is warranted and in developing any conditional requirements or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will make a decision on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will mail to the person subject to an evaluation a record check decision that explains the decision reached regarding the evaluation of the transgression and a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notice of decision prohibiting involvement with child care when the person subject to an evaluation fails to complete the record check evaluation within the ten-calendar-day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the record check evaluation process,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relating to the person’s involvement with child care, which may include completion of additional training or an individually designed corrective action plan, or both. For an employee of a registrant, these conditional requirements shall be developed with the registrant. All conditions placed on a person’s involvement with child care shall be communicated, in writing, to both the person subject to the evaluation and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will reevaluate any transgressions where a state or federal law change requires different considerations of the transgression than had been previously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of abuse in care. </w:t>
      </w:r>
      <w:r>
        <w:rPr>
          <w:rFonts w:ascii="Times New Roman" w:hAnsi="Times New Roman"/>
          <w:b w:val="false"/>
          <w:i w:val="false"/>
          <w:color w:val="000000"/>
          <w:sz w:val="22"/>
        </w:rPr>
        <w:t>If there has been founded child abuse committed by an owner, director, or staff member of the child care facility or child care home, the department’s administrator shall notify the parents, guardians, and legal custodians of each child for whom the facility or child care home provides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facility or child care home shall cooperate with the department in providing the names and addresses of the parent, guardian, or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information shall be provided to the department within ten calendar days from the date of the initial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or refusal to provide the requested information may result in cancellation of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has denied or revoked a registration or child care assistance provider agreement because the provider has continually or repeatedly failed to operate in compliance with Iowa Code chapter </w:t>
      </w:r>
      <w:hyperlink r:id="rId6">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the person cannot own or operate a registered facility for a period of 12 months from the date of denial or revocation. The department will not act on an application for registration submitted by the applicant or provider during the 12-month period. The applicant shall be prohibited from involvement with child care unless the department specifically permits the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110.11(5)</w:t>
      </w:r>
      <w:r>
        <w:rPr>
          <w:rFonts w:ascii="Times New Roman" w:hAnsi="Times New Roman"/>
          <w:b w:val="false"/>
          <w:i w:val="false"/>
          <w:color w:val="000000"/>
          <w:sz w:val="22"/>
        </w:rPr>
        <w:t> </w:t>
      </w:r>
      <w:r>
        <w:rPr>
          <w:rFonts w:ascii="Times New Roman" w:hAnsi="Times New Roman"/>
          <w:b w:val="false"/>
          <w:i w:val="false"/>
          <w:color w:val="000000"/>
          <w:sz w:val="22"/>
        </w:rPr>
        <w:t>If a certificate of registration or child care assistance provider agreement is revoked, the department will notify the parent, guardian, or legal custodian of each child for whom the facility provides care. The provider shall cooperate with the department in providing the name and address of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110.11(6)</w:t>
      </w:r>
      <w:r>
        <w:rPr>
          <w:rFonts w:ascii="Times New Roman" w:hAnsi="Times New Roman"/>
          <w:b w:val="false"/>
          <w:i w:val="false"/>
          <w:color w:val="000000"/>
          <w:sz w:val="22"/>
        </w:rPr>
        <w:t> </w:t>
      </w:r>
      <w:r>
        <w:rPr>
          <w:rFonts w:ascii="Times New Roman" w:hAnsi="Times New Roman"/>
          <w:b w:val="false"/>
          <w:i w:val="false"/>
          <w:color w:val="000000"/>
          <w:sz w:val="22"/>
        </w:rPr>
        <w:t>Required notifications to the department. The provider shall, within ten days, notify the department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in assistants or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household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changes;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Criminal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110.11(7)</w:t>
      </w:r>
      <w:r>
        <w:rPr>
          <w:rFonts w:ascii="Times New Roman" w:hAnsi="Times New Roman"/>
          <w:b w:val="false"/>
          <w:i w:val="false"/>
          <w:color w:val="000000"/>
          <w:sz w:val="22"/>
        </w:rPr>
        <w:t> </w:t>
      </w:r>
      <w:r>
        <w:rPr>
          <w:rFonts w:ascii="Times New Roman" w:hAnsi="Times New Roman"/>
          <w:b w:val="false"/>
          <w:i w:val="false"/>
          <w:color w:val="000000"/>
          <w:sz w:val="22"/>
        </w:rPr>
        <w:t>No assistant, substitute, or co-provider shall be utilized in the care of children and no person shall be permitted to reside in the household until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110.11(8)</w:t>
      </w:r>
      <w:r>
        <w:rPr>
          <w:rFonts w:ascii="Times New Roman" w:hAnsi="Times New Roman"/>
          <w:b w:val="false"/>
          <w:i w:val="false"/>
          <w:color w:val="000000"/>
          <w:sz w:val="22"/>
        </w:rPr>
        <w:t> </w:t>
      </w:r>
      <w:r>
        <w:rPr>
          <w:rFonts w:ascii="Times New Roman" w:hAnsi="Times New Roman"/>
          <w:b w:val="false"/>
          <w:i w:val="false"/>
          <w:color w:val="000000"/>
          <w:sz w:val="22"/>
        </w:rPr>
        <w:t>If the provider does not notify the department of changes within ten days, the provider may be subject to revocation of registration or to recoupment of child care assistance provided,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110.11(9)</w:t>
      </w:r>
      <w:r>
        <w:rPr>
          <w:rFonts w:ascii="Times New Roman" w:hAnsi="Times New Roman"/>
          <w:b w:val="false"/>
          <w:i w:val="false"/>
          <w:color w:val="000000"/>
          <w:sz w:val="22"/>
        </w:rPr>
        <w:t> </w:t>
      </w:r>
      <w:r>
        <w:rPr>
          <w:rFonts w:ascii="Times New Roman" w:hAnsi="Times New Roman"/>
          <w:b w:val="false"/>
          <w:i w:val="false"/>
          <w:color w:val="000000"/>
          <w:sz w:val="22"/>
        </w:rPr>
        <w:t>Notice of child development home revocation. A notice received by an owner or operator of a child development home initiating action to deny or revoke the home’s registration shall be conspicuously posted where it can be read by parents or any member of the public. The letter shall remain posted until resolution of the action to deny or revoke an owner’s or operator’s certificate of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6.23.pdf" Type="http://schemas.openxmlformats.org/officeDocument/2006/relationships/hyperlink" Id="rId4"/>
    <Relationship TargetMode="External" Target="https://www.legis.iowa.gov/docs/ico/chapter/237A.5.pdf" Type="http://schemas.openxmlformats.org/officeDocument/2006/relationships/hyperlink" Id="rId5"/>
    <Relationship TargetMode="External" Target="https://www.legis.iowa.gov/docs/ico/chapter/237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