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441—110.10</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registration or approval as a nonregistered child care home, the provider shall complete minimum health and safety trainings, approved by the department, in all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registration or approval as a nonregistered child care home, the provider shall complete two hours of Iowa’s training for mandatory reporting of child abuse as required by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The provider shall maintain a valid certificate indicating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registration or approval as a nonregistered child care home, the provider shall complete pediatric first aid and pediatric CPR training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by a nationally-recognized training organization, such as the American Red Cross, American Heart Association, National Safety Council, Health and Safety Institute (HSI), or by an equivalent trainer using curriculum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first aid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CPR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must earn 12 contact hours of training each calendar year from approved subject areas from the Council for Professional Recognition or approved content areas from the National Afterschool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During each calendar year, the nonregistered child care home provider shall receive a minimum of three hours of training from approved content areas. If course content overlaps between calendar years, hours may still count toward professional development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Minimum health and safety training may be required if content has significant changes that the department warrants that the training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child development home provider who has completed training through a child care resource and referral agency or community college within six months prior to initial registration shall be permitted to count the training toward the provider’s total training required during the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110.10(2)</w:t>
      </w:r>
      <w:r>
        <w:rPr>
          <w:rFonts w:ascii="Times New Roman" w:hAnsi="Times New Roman"/>
          <w:b w:val="false"/>
          <w:i w:val="false"/>
          <w:color w:val="000000"/>
          <w:sz w:val="22"/>
        </w:rPr>
        <w:t> </w:t>
      </w:r>
      <w:r>
        <w:rPr>
          <w:rFonts w:ascii="Times New Roman" w:hAnsi="Times New Roman"/>
          <w:b w:val="false"/>
          <w:i/>
          <w:color w:val="000000"/>
          <w:sz w:val="22"/>
        </w:rPr>
        <w:t xml:space="preserve">Approved trainings.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contact hours can be coaching, education, or training provided by a department-approved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Coaching contact hours may only be used to meet up to half of an individual’s annual professional development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professional development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conducted with staff during the hours of operation of the facility, during staff lunch hours, or while children are resting cannot diminish supervision provided to children. The provider cannot be actively engaged in care and supervision while simultaneously participating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Department-approved entities must provide participants a professional development certificate for approved professional development contact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0691D</w:t>
      </w:r>
      <w:r>
        <w:rPr>
          <w:rFonts w:ascii="Times New Roman" w:hAnsi="Times New Roman"/>
          <w:b w:val="false"/>
          <w:i w:val="false"/>
          <w:color w:val="000000"/>
          <w:sz w:val="16"/>
        </w:rPr>
        <w:t>, IAB 10/28/26, effective 1/1/27</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6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