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“Assistant”</w:t>
      </w:r>
      <w:r>
        <w:rPr>
          <w:rFonts w:ascii="Times New Roman" w:hAnsi="Times New Roman"/>
          <w:b w:val="false"/>
          <w:i w:val="false"/>
          <w:color w:val="000000"/>
          <w:sz w:val="22"/>
        </w:rPr>
        <w:t> </w:t>
      </w:r>
      <w:r>
        <w:rPr>
          <w:rFonts w:ascii="Times New Roman" w:hAnsi="Times New Roman"/>
          <w:b w:val="false"/>
          <w:i w:val="false"/>
          <w:color w:val="000000"/>
          <w:sz w:val="22"/>
        </w:rPr>
        <w:t>means a responsible person 14 years of age or older employed by the child care provider. The assistant may never be left alone with children. Ultimate responsibility for supervision is with the child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“Category,”</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referring to category A, B, or C, means one of the three categories of standards for child development homes established by Iowa Code section </w:t>
      </w:r>
      <w:hyperlink r:id="rId4">
        <w:r>
          <w:rPr>
            <w:rStyle w:val="Hyperlink"/>
            <w:rFonts w:ascii="Times New Roman" w:hAnsi="Times New Roman"/>
            <w:b w:val="false"/>
            <w:i w:val="false"/>
            <w:color w:val="000000"/>
            <w:sz w:val="22"/>
          </w:rPr>
          <w:t>237A.3A(3)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assistance provider agreement”</w:t>
      </w:r>
      <w:r>
        <w:rPr>
          <w:rFonts w:ascii="Times New Roman" w:hAnsi="Times New Roman"/>
          <w:b w:val="false"/>
          <w:i w:val="false"/>
          <w:color w:val="000000"/>
          <w:sz w:val="22"/>
        </w:rPr>
        <w:t> </w:t>
      </w:r>
      <w:r>
        <w:rPr>
          <w:rFonts w:ascii="Times New Roman" w:hAnsi="Times New Roman"/>
          <w:b w:val="false"/>
          <w:i w:val="false"/>
          <w:color w:val="000000"/>
          <w:sz w:val="22"/>
        </w:rPr>
        <w:t>means the approved form to receive payment under the child care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development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support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252J.1(2)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“Coaching”</w:t>
      </w:r>
      <w:r>
        <w:rPr>
          <w:rFonts w:ascii="Times New Roman" w:hAnsi="Times New Roman"/>
          <w:b w:val="false"/>
          <w:i w:val="false"/>
          <w:color w:val="000000"/>
          <w:sz w:val="22"/>
        </w:rPr>
        <w:t> </w:t>
      </w:r>
      <w:r>
        <w:rPr>
          <w:rFonts w:ascii="Times New Roman" w:hAnsi="Times New Roman"/>
          <w:b w:val="false"/>
          <w:i w:val="false"/>
          <w:color w:val="000000"/>
          <w:sz w:val="22"/>
        </w:rPr>
        <w:t>means a relationship-based process led by an expert to build capacity for specific professional dispositions, skills, and behaviors and is focused on performance-based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w:t>
      </w:r>
      <w:r>
        <w:rPr>
          <w:rFonts w:ascii="Times New Roman" w:hAnsi="Times New Roman"/>
          <w:b w:val="false"/>
          <w:i w:val="false"/>
          <w:color w:val="000000"/>
          <w:sz w:val="22"/>
        </w:rPr>
        <w:t>means formal coursework offered through a state-approved accredited secondary school,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“Involvement with child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“Nonregistered child care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child care home that has an approved payment application and a current child care assistance provider agreement with the department. Nonregistered child care homes are required to meet minimum health and safety standards under the child care and development block grant under </w:t>
      </w:r>
      <w:r>
        <w:rPr>
          <w:rFonts w:ascii="Times New Roman" w:hAnsi="Times New Roman"/>
          <w:b w:val="false"/>
          <w:i w:val="false"/>
          <w:color w:val="000000"/>
          <w:sz w:val="22"/>
        </w:rPr>
        <w:t>45 CFR 98.41</w:t>
      </w:r>
      <w:r>
        <w:rPr>
          <w:rFonts w:ascii="Times New Roman" w:hAnsi="Times New Roman"/>
          <w:b w:val="false"/>
          <w:i w:val="false"/>
          <w:color w:val="000000"/>
          <w:sz w:val="22"/>
        </w:rPr>
        <w:t xml:space="preserve">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subject to an evaluation”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development”</w:t>
      </w:r>
      <w:r>
        <w:rPr>
          <w:rFonts w:ascii="Times New Roman" w:hAnsi="Times New Roman"/>
          <w:b w:val="false"/>
          <w:i w:val="false"/>
          <w:color w:val="000000"/>
          <w:sz w:val="22"/>
        </w:rPr>
        <w:t> </w:t>
      </w:r>
      <w:r>
        <w:rPr>
          <w:rFonts w:ascii="Times New Roman" w:hAnsi="Times New Roman"/>
          <w:b w:val="false"/>
          <w:i w:val="false"/>
          <w:color w:val="000000"/>
          <w:sz w:val="22"/>
        </w:rPr>
        <w:t>means a continuum of learning activities designed to prepare and support individuals for work with children and families, including coaching,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the person or program that applies for registration to provide child care and is approved as a child development home or a nonregistered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child care providers certify that they comply with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 certificate”</w:t>
      </w:r>
      <w:r>
        <w:rPr>
          <w:rFonts w:ascii="Times New Roman" w:hAnsi="Times New Roman"/>
          <w:b w:val="false"/>
          <w:i w:val="false"/>
          <w:color w:val="000000"/>
          <w:sz w:val="22"/>
        </w:rPr>
        <w:t> </w:t>
      </w:r>
      <w:r>
        <w:rPr>
          <w:rFonts w:ascii="Times New Roman" w:hAnsi="Times New Roman"/>
          <w:b w:val="false"/>
          <w:i w:val="false"/>
          <w:color w:val="000000"/>
          <w:sz w:val="22"/>
        </w:rPr>
        <w:t>means the written document issued by the department to publicly state that the provider has certified in writing compliance with the minimum requirements for registration of a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“Relative”</w:t>
      </w:r>
      <w:r>
        <w:rPr>
          <w:rFonts w:ascii="Times New Roman" w:hAnsi="Times New Roman"/>
          <w:b w:val="false"/>
          <w:i w:val="false"/>
          <w:color w:val="000000"/>
          <w:sz w:val="22"/>
        </w:rPr>
        <w:t> </w:t>
      </w:r>
      <w:r>
        <w:rPr>
          <w:rFonts w:ascii="Times New Roman" w:hAnsi="Times New Roman"/>
          <w:b w:val="false"/>
          <w:i w:val="false"/>
          <w:color w:val="000000"/>
          <w:sz w:val="22"/>
        </w:rPr>
        <w:t>means grandparents, great-grandparents, aunts, uncles, and siblings living in a separate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w:t>
      </w:r>
      <w:r>
        <w:rPr>
          <w:rFonts w:ascii="Times New Roman" w:hAnsi="Times New Roman"/>
          <w:b w:val="false"/>
          <w:i w:val="false"/>
          <w:color w:val="000000"/>
          <w:sz w:val="22"/>
        </w:rPr>
        <w:t> </w:t>
      </w:r>
      <w:r>
        <w:rPr>
          <w:rFonts w:ascii="Times New Roman" w:hAnsi="Times New Roman"/>
          <w:b w:val="false"/>
          <w:i w:val="false"/>
          <w:color w:val="000000"/>
          <w:sz w:val="22"/>
        </w:rPr>
        <w:t>means a learning experience that addresses a specific topic of professional relevance that builds or enhances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“Transgression”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7A.3A.pdf" Type="http://schemas.openxmlformats.org/officeDocument/2006/relationships/hyperlink" Id="rId4"/>
    <Relationship TargetMode="External" Target="https://www.legis.iowa.gov/docs/ico/chapter/237A.1.pdf" Type="http://schemas.openxmlformats.org/officeDocument/2006/relationships/hyperlink" Id="rId5"/>
    <Relationship TargetMode="External" Target="https://www.legis.iowa.gov/docs/ico/chapter/237A.1.pdf" Type="http://schemas.openxmlformats.org/officeDocument/2006/relationships/hyperlink" Id="rId6"/>
    <Relationship TargetMode="External" Target="https://www.legis.iowa.gov/docs/ico/chapter/237A.1.pdf" Type="http://schemas.openxmlformats.org/officeDocument/2006/relationships/hyperlink" Id="rId7"/>
    <Relationship TargetMode="External" Target="https://www.legis.iowa.gov/docs/ico/chapter/237A.1.pdf" Type="http://schemas.openxmlformats.org/officeDocument/2006/relationships/hyperlink" Id="rId8"/>
    <Relationship TargetMode="External" Target="https://www.legis.iowa.gov/docs/ico/chapter/237A.1.pdf" Type="http://schemas.openxmlformats.org/officeDocument/2006/relationships/hyperlink" Id="rId9"/>
    <Relationship TargetMode="External" Target="https://www.legis.iowa.gov/docs/ico/chapter/252J.1.pdf" Type="http://schemas.openxmlformats.org/officeDocument/2006/relationships/hyperlink" Id="rId10"/>
    <Relationship TargetMode="External" Target="https://www.legis.iowa.gov/docs/ico/chapter/237A.1.pdf" Type="http://schemas.openxmlformats.org/officeDocument/2006/relationships/hyperlink" Id="rId11"/>
    <Relationship TargetMode="External" Target="https://www.legis.iowa.gov/docs/ico/chapter/237A.1.pdf" Type="http://schemas.openxmlformats.org/officeDocument/2006/relationships/hyperlink" Id="rId12"/>
    <Relationship TargetMode="External" Target="https://www.legis.iowa.gov/docs/ico/chapter/237A.5.pdf" Type="http://schemas.openxmlformats.org/officeDocument/2006/relationships/hyperlink" Id="rId13"/>
    <Relationship TargetMode="External" Target="https://www.legis.iowa.gov/docs/ico/chapter/237A.1.pdf" Type="http://schemas.openxmlformats.org/officeDocument/2006/relationships/hyperlink" Id="rId14"/>
    <Relationship TargetMode="External" Target="https://www.legis.iowa.gov/docs/ico/chapter/237A.1.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