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265—29.7</w:t>
      </w:r>
      <w:r>
        <w:rPr>
          <w:rFonts w:ascii="Times New Roman" w:hAnsi="Times New Roman"/>
          <w:b/>
          <w:i w:val="false"/>
          <w:color w:val="000000"/>
          <w:sz w:val="22"/>
        </w:rPr>
        <w:t xml:space="preserve">(16) </w:t>
      </w:r>
      <w:r>
        <w:rPr>
          <w:rFonts w:ascii="Times New Roman" w:hAnsi="Times New Roman"/>
          <w:b/>
          <w:i w:val="false"/>
          <w:color w:val="000000"/>
          <w:sz w:val="22"/>
        </w:rPr>
        <w:t xml:space="preserve">Reporting. </w:t>
      </w:r>
      <w:r>
        <w:rPr>
          <w:rFonts w:ascii="Times New Roman" w:hAnsi="Times New Roman"/>
          <w:b w:val="false"/>
          <w:i w:val="false"/>
          <w:color w:val="000000"/>
          <w:sz w:val="22"/>
        </w:rPr>
        <w:t>A local program administrator working with the authority to administer financial assistance will submit any information reasonably requested by the authority in sufficient detail to permit the authority to prepare any reports required by the authority,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