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265—29.5</w:t>
      </w:r>
      <w:r>
        <w:rPr>
          <w:rFonts w:ascii="Times New Roman" w:hAnsi="Times New Roman"/>
          <w:b/>
          <w:i w:val="false"/>
          <w:color w:val="000000"/>
          <w:sz w:val="22"/>
        </w:rPr>
        <w:t xml:space="preserve">(16) </w:t>
      </w:r>
      <w:r>
        <w:rPr>
          <w:rFonts w:ascii="Times New Roman" w:hAnsi="Times New Roman"/>
          <w:b/>
          <w:i w:val="false"/>
          <w:color w:val="000000"/>
          <w:sz w:val="22"/>
        </w:rPr>
        <w:t xml:space="preserve">Loan terms. </w:t>
      </w:r>
      <w:r>
        <w:rPr>
          <w:rFonts w:ascii="Times New Roman" w:hAnsi="Times New Roman"/>
          <w:b w:val="false"/>
          <w:i w:val="false"/>
          <w:color w:val="000000"/>
          <w:sz w:val="22"/>
        </w:rPr>
        <w:t>Loans or forgivable loans made under the program shall, at a minimum,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Five-year term. </w:t>
      </w:r>
      <w:r>
        <w:rPr>
          <w:rFonts w:ascii="Times New Roman" w:hAnsi="Times New Roman"/>
          <w:b w:val="false"/>
          <w:i w:val="false"/>
          <w:color w:val="000000"/>
          <w:sz w:val="22"/>
        </w:rPr>
        <w:t>The duration of the loan will be for a term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The maximum amount of a loan made under this program shall be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Loans made pursuant to the program shall bear no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color w:val="000000"/>
          <w:sz w:val="22"/>
        </w:rPr>
        <w:t xml:space="preserve">Forgivability. </w:t>
      </w:r>
      <w:r>
        <w:rPr>
          <w:rFonts w:ascii="Times New Roman" w:hAnsi="Times New Roman"/>
          <w:b w:val="false"/>
          <w:i w:val="false"/>
          <w:color w:val="000000"/>
          <w:sz w:val="22"/>
        </w:rPr>
        <w:t xml:space="preserve">Loans made pursuant to the program may be forgiven according to the terms of the retention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29.5(5)</w:t>
      </w:r>
      <w:r>
        <w:rPr>
          <w:rFonts w:ascii="Times New Roman" w:hAnsi="Times New Roman"/>
          <w:b w:val="false"/>
          <w:i w:val="false"/>
          <w:color w:val="000000"/>
          <w:sz w:val="22"/>
        </w:rPr>
        <w:t> </w:t>
      </w:r>
      <w:r>
        <w:rPr>
          <w:rFonts w:ascii="Times New Roman" w:hAnsi="Times New Roman"/>
          <w:b w:val="false"/>
          <w:i/>
          <w:color w:val="000000"/>
          <w:sz w:val="22"/>
        </w:rPr>
        <w:t xml:space="preserve">Repayment due upon sale of home. </w:t>
      </w:r>
      <w:r>
        <w:rPr>
          <w:rFonts w:ascii="Times New Roman" w:hAnsi="Times New Roman"/>
          <w:b w:val="false"/>
          <w:i w:val="false"/>
          <w:color w:val="000000"/>
          <w:sz w:val="22"/>
        </w:rPr>
        <w:t>If a homeowner who has been awarded a loan or forgivable loan sells a disaster-affected home or replacement housing for which the homeowner received the loan or forgivable loan prior to the end of the loan term, the remaining principal on the loan or forgivable loan shall be due and payable upon the sale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29.5(6)</w:t>
      </w:r>
      <w:r>
        <w:rPr>
          <w:rFonts w:ascii="Times New Roman" w:hAnsi="Times New Roman"/>
          <w:b w:val="false"/>
          <w:i w:val="false"/>
          <w:color w:val="000000"/>
          <w:sz w:val="22"/>
        </w:rPr>
        <w:t> </w:t>
      </w:r>
      <w:r>
        <w:rPr>
          <w:rFonts w:ascii="Times New Roman" w:hAnsi="Times New Roman"/>
          <w:b w:val="false"/>
          <w:i/>
          <w:color w:val="000000"/>
          <w:sz w:val="22"/>
        </w:rPr>
        <w:t xml:space="preserve">Retention agreement. </w:t>
      </w:r>
      <w:r>
        <w:rPr>
          <w:rFonts w:ascii="Times New Roman" w:hAnsi="Times New Roman"/>
          <w:b w:val="false"/>
          <w:i w:val="false"/>
          <w:color w:val="000000"/>
          <w:sz w:val="22"/>
        </w:rPr>
        <w:t xml:space="preserve">Each loan or forgivable loan made pursuant to this program shall be secured by a retention agreement that shall constitute a lien on the title of the real property for which the loan or forgivable loan is made until such time as the loan or forgivable loan has either been fully forgiven or paid in full. However, if an eligible homeowner receives a buyout of the disaster-affected home from the hazard mitigation grant program established in Iowa Code chapter </w:t>
      </w:r>
      <w:hyperlink r:id="rId4">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or any other funding source, the receipt of the buyout will not trigger a repayment of assistance received under subrule </w:t>
      </w:r>
      <w:hyperlink r:id="rId5">
        <w:r>
          <w:rPr>
            <w:rStyle w:val="Hyperlink"/>
            <w:rFonts w:ascii="Times New Roman" w:hAnsi="Times New Roman"/>
            <w:b w:val="false"/>
            <w:i w:val="false"/>
            <w:color w:val="000000"/>
            <w:sz w:val="22"/>
          </w:rPr>
          <w:t>29.4(1)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29.5(7)</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eligible homeowner receives other disaster compensation after financial assistance is awarded, the authority may require repayment of some or all of the financial assistance based on the amount of disaster compensation received and review for any duplication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home to be purchased, repaired or rehabilitated using assistance under the program must be in compliance with all applicable state and local laws, rules and ordinances. To be eligible for assistance, the home must be in compliance as of the time of closing in the case of purchases, and as of the date of the final disbursement of financial assistance in the case of repair or rehabilitation.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9C.pdf" Type="http://schemas.openxmlformats.org/officeDocument/2006/relationships/hyperlink" Id="rId4"/>
    <Relationship TargetMode="External" Target="https://www.legis.iowa.gov/docs/iac/rule/265.29.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