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265—29.2</w:t>
      </w:r>
      <w:r>
        <w:rPr>
          <w:rFonts w:ascii="Times New Roman" w:hAnsi="Times New Roman"/>
          <w:b/>
          <w:i w:val="false"/>
          <w:color w:val="000000"/>
          <w:sz w:val="22"/>
        </w:rPr>
        <w:t xml:space="preserve">(16) </w:t>
      </w:r>
      <w:r>
        <w:rPr>
          <w:rFonts w:ascii="Times New Roman" w:hAnsi="Times New Roman"/>
          <w:b/>
          <w:i w:val="false"/>
          <w:color w:val="000000"/>
          <w:sz w:val="22"/>
        </w:rPr>
        <w:t xml:space="preserve">Local program administrators.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29.2(1)</w:t>
      </w:r>
      <w:r>
        <w:rPr>
          <w:rFonts w:ascii="Times New Roman" w:hAnsi="Times New Roman"/>
          <w:b w:val="false"/>
          <w:i w:val="false"/>
          <w:color w:val="000000"/>
          <w:sz w:val="22"/>
        </w:rPr>
        <w:t> </w:t>
      </w:r>
      <w:r>
        <w:rPr>
          <w:rFonts w:ascii="Times New Roman" w:hAnsi="Times New Roman"/>
          <w:b w:val="false"/>
          <w:i/>
          <w:color w:val="000000"/>
          <w:sz w:val="22"/>
        </w:rPr>
        <w:t xml:space="preserve">Additional qualified organizations. </w:t>
      </w:r>
      <w:r>
        <w:rPr>
          <w:rFonts w:ascii="Times New Roman" w:hAnsi="Times New Roman"/>
          <w:b w:val="false"/>
          <w:i w:val="false"/>
          <w:color w:val="000000"/>
          <w:sz w:val="22"/>
        </w:rPr>
        <w:t xml:space="preserve">In addition to the organizations identified in Iowa Code section </w:t>
      </w:r>
      <w:hyperlink r:id="rId4">
        <w:r>
          <w:rPr>
            <w:rStyle w:val="Hyperlink"/>
            <w:rFonts w:ascii="Times New Roman" w:hAnsi="Times New Roman"/>
            <w:b w:val="false"/>
            <w:i w:val="false"/>
            <w:color w:val="000000"/>
            <w:sz w:val="22"/>
          </w:rPr>
          <w:t>16.57B(1)</w:t>
        </w:r>
      </w:hyperlink>
      <w:r>
        <w:rPr>
          <w:rFonts w:ascii="Times New Roman" w:hAnsi="Times New Roman"/>
          <w:b w:val="false"/>
          <w:i/>
          <w:color w:val="000000"/>
          <w:sz w:val="22"/>
        </w:rPr>
        <w:t>“d,”</w:t>
      </w:r>
      <w:r>
        <w:rPr>
          <w:rFonts w:ascii="Times New Roman" w:hAnsi="Times New Roman"/>
          <w:b w:val="false"/>
          <w:i w:val="false"/>
          <w:color w:val="000000"/>
          <w:sz w:val="22"/>
        </w:rPr>
        <w:t xml:space="preserve"> nonprofit organizations or government entities that provide the following disaster recovery or housing stability services may serve as local program administrators: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Housing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Legal services related to eviction proceedings and maintaining housing stability;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Housing navigation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29.2(2)</w:t>
      </w:r>
      <w:r>
        <w:rPr>
          <w:rFonts w:ascii="Times New Roman" w:hAnsi="Times New Roman"/>
          <w:b w:val="false"/>
          <w:i w:val="false"/>
          <w:color w:val="000000"/>
          <w:sz w:val="22"/>
        </w:rPr>
        <w:t> </w:t>
      </w:r>
      <w:r>
        <w:rPr>
          <w:rFonts w:ascii="Times New Roman" w:hAnsi="Times New Roman"/>
          <w:b w:val="false"/>
          <w:i/>
          <w:color w:val="000000"/>
          <w:sz w:val="22"/>
        </w:rPr>
        <w:t xml:space="preserve">Agreements with local government administrators. </w:t>
      </w:r>
      <w:r>
        <w:rPr>
          <w:rFonts w:ascii="Times New Roman" w:hAnsi="Times New Roman"/>
          <w:b w:val="false"/>
          <w:i w:val="false"/>
          <w:color w:val="000000"/>
          <w:sz w:val="22"/>
        </w:rPr>
        <w:t xml:space="preserve">The authority may enter into agreements with local program administrators working in disaster-affected counties for the purpose of implementing the program at the local level.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29.2(3)</w:t>
      </w:r>
      <w:r>
        <w:rPr>
          <w:rFonts w:ascii="Times New Roman" w:hAnsi="Times New Roman"/>
          <w:b w:val="false"/>
          <w:i w:val="false"/>
          <w:color w:val="000000"/>
          <w:sz w:val="22"/>
        </w:rPr>
        <w:t> </w:t>
      </w:r>
      <w:r>
        <w:rPr>
          <w:rFonts w:ascii="Times New Roman" w:hAnsi="Times New Roman"/>
          <w:b w:val="false"/>
          <w:i/>
          <w:color w:val="000000"/>
          <w:sz w:val="22"/>
        </w:rPr>
        <w:t xml:space="preserve">Review of requests for assistance. </w:t>
      </w:r>
      <w:r>
        <w:rPr>
          <w:rFonts w:ascii="Times New Roman" w:hAnsi="Times New Roman"/>
          <w:b w:val="false"/>
          <w:i w:val="false"/>
          <w:color w:val="000000"/>
          <w:sz w:val="22"/>
        </w:rPr>
        <w:t xml:space="preserve">Homeowners and renters will submit applications in the manner prescribed by the authority, including homeowners and renters who are referred by disaster case advocates as described in Iowa Code section </w:t>
      </w:r>
      <w:hyperlink r:id="rId5">
        <w:r>
          <w:rPr>
            <w:rStyle w:val="Hyperlink"/>
            <w:rFonts w:ascii="Times New Roman" w:hAnsi="Times New Roman"/>
            <w:b w:val="false"/>
            <w:i w:val="false"/>
            <w:color w:val="000000"/>
            <w:sz w:val="22"/>
          </w:rPr>
          <w:t>16.57B(4)</w:t>
        </w:r>
      </w:hyperlink>
      <w:r>
        <w:rPr>
          <w:rFonts w:ascii="Times New Roman" w:hAnsi="Times New Roman"/>
          <w:b w:val="false"/>
          <w:i w:val="false"/>
          <w:color w:val="000000"/>
          <w:sz w:val="22"/>
        </w:rPr>
        <w:t>. Local program administrators or the authority shall accept and review each application. The authority may award financial assistance after a local program administrator or the authority has determined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applicant is eligible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requested funds are being requested for a use permitted under the program, including verification that disaster-affected homes to be repaired or rehabilitated or replacement housing to be purchased with financial assistance are not located in a 100-year floodplain.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of financial assistance to be awarded to the homeowner or renter.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fees. </w:t>
      </w:r>
      <w:r>
        <w:rPr>
          <w:rFonts w:ascii="Times New Roman" w:hAnsi="Times New Roman"/>
          <w:b w:val="false"/>
          <w:i w:val="false"/>
          <w:color w:val="000000"/>
          <w:sz w:val="22"/>
        </w:rPr>
        <w:t xml:space="preserve">The authority may share all or a portion of the moneys reserved for its administrative costs pursuant to Iowa Code section </w:t>
      </w:r>
      <w:hyperlink r:id="rId6">
        <w:r>
          <w:rPr>
            <w:rStyle w:val="Hyperlink"/>
            <w:rFonts w:ascii="Times New Roman" w:hAnsi="Times New Roman"/>
            <w:b w:val="false"/>
            <w:i w:val="false"/>
            <w:color w:val="000000"/>
            <w:sz w:val="22"/>
          </w:rPr>
          <w:t>16.57B(2)</w:t>
        </w:r>
      </w:hyperlink>
      <w:r>
        <w:rPr>
          <w:rFonts w:ascii="Times New Roman" w:hAnsi="Times New Roman"/>
          <w:b w:val="false"/>
          <w:i/>
          <w:color w:val="000000"/>
          <w:sz w:val="22"/>
        </w:rPr>
        <w:t>“c”</w:t>
      </w:r>
      <w:r>
        <w:rPr>
          <w:rFonts w:ascii="Times New Roman" w:hAnsi="Times New Roman"/>
          <w:b w:val="false"/>
          <w:i w:val="false"/>
          <w:color w:val="000000"/>
          <w:sz w:val="22"/>
        </w:rPr>
        <w:t xml:space="preserve"> with local program administrators to reimburse their administrative costs. Interest credited to the fund pursuant to Iowa Code section </w:t>
      </w:r>
      <w:hyperlink r:id="rId7">
        <w:r>
          <w:rPr>
            <w:rStyle w:val="Hyperlink"/>
            <w:rFonts w:ascii="Times New Roman" w:hAnsi="Times New Roman"/>
            <w:b w:val="false"/>
            <w:i w:val="false"/>
            <w:color w:val="000000"/>
            <w:sz w:val="22"/>
          </w:rPr>
          <w:t>16.57B(2)</w:t>
        </w:r>
      </w:hyperlink>
      <w:r>
        <w:rPr>
          <w:rFonts w:ascii="Times New Roman" w:hAnsi="Times New Roman"/>
          <w:b w:val="false"/>
          <w:i/>
          <w:color w:val="000000"/>
          <w:sz w:val="22"/>
        </w:rPr>
        <w:t>“a”</w:t>
      </w:r>
      <w:r>
        <w:rPr>
          <w:rFonts w:ascii="Times New Roman" w:hAnsi="Times New Roman"/>
          <w:b w:val="false"/>
          <w:i w:val="false"/>
          <w:color w:val="000000"/>
          <w:sz w:val="22"/>
        </w:rPr>
        <w:t>(2) may be used by the authority for additional unreimbursed administrative costs related to the program or administrative costs incurred by the Iowa economic development authority to assist in administering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29.2(5)</w:t>
      </w:r>
      <w:r>
        <w:rPr>
          <w:rFonts w:ascii="Times New Roman" w:hAnsi="Times New Roman"/>
          <w:b w:val="false"/>
          <w:i w:val="false"/>
          <w:color w:val="000000"/>
          <w:sz w:val="22"/>
        </w:rPr>
        <w:t> </w:t>
      </w:r>
      <w:r>
        <w:rPr>
          <w:rFonts w:ascii="Times New Roman" w:hAnsi="Times New Roman"/>
          <w:b w:val="false"/>
          <w:i/>
          <w:color w:val="000000"/>
          <w:sz w:val="22"/>
        </w:rPr>
        <w:t xml:space="preserve">Proceeds of repayments. </w:t>
      </w:r>
      <w:r>
        <w:rPr>
          <w:rFonts w:ascii="Times New Roman" w:hAnsi="Times New Roman"/>
          <w:b w:val="false"/>
          <w:i w:val="false"/>
          <w:color w:val="000000"/>
          <w:sz w:val="22"/>
        </w:rPr>
        <w:t>All loan amounts repaid to the authority by an eligible homeowner pursuant to this chapter shall be returned to the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0695D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6.57B.pdf" Type="http://schemas.openxmlformats.org/officeDocument/2006/relationships/hyperlink" Id="rId4"/>
    <Relationship TargetMode="External" Target="https://www.legis.iowa.gov/docs/ico/chapter/16.57B.pdf" Type="http://schemas.openxmlformats.org/officeDocument/2006/relationships/hyperlink" Id="rId5"/>
    <Relationship TargetMode="External" Target="https://www.legis.iowa.gov/docs/ico/chapter/16.57B.pdf" Type="http://schemas.openxmlformats.org/officeDocument/2006/relationships/hyperlink" Id="rId6"/>
    <Relationship TargetMode="External" Target="https://www.legis.iowa.gov/docs/ico/chapter/16.57B.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