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265—25.5</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The loan recipient shall maintain records that document all costs associated with the project. The loan recipient shall provide access to these records to the authority, the department, the auditor of the state of Iowa, FEMA, the Office of the Inspector General at FEMA, or their agents or designees upon request. The loan recipient shall retain such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The loan recipient shall provide the authority, the department, or their agents or designees access to the project site on request for the duration of the loan to verify that the funds are being used for the purpose intended, that the construction work meets applicable state and federal requirements, and that the project is being operated and maintained 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The loan recipient’s accounting procedures shall conform to generally accepted government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The authority may, for cause, find that a loan recipient is not in compliance with the requirements of the program. Remedies for noncompliance may include penalties up to and including withholding of loan funds not yet disbursed or return of loan funds already disbursed. Findings of noncompliance may include but are not limited to the use of loan funds for activities not described in the application; failure to begin construction within one year of execution of a loan agreement; or failure to comply with any applicable state or federal rules, regulations, or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