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265—25.4</w:t>
      </w:r>
      <w:r>
        <w:rPr>
          <w:rFonts w:ascii="Times New Roman" w:hAnsi="Times New Roman"/>
          <w:b/>
          <w:i w:val="false"/>
          <w:color w:val="000000"/>
          <w:sz w:val="22"/>
        </w:rPr>
        <w:t xml:space="preserve">(16) </w:t>
      </w:r>
      <w:r>
        <w:rPr>
          <w:rFonts w:ascii="Times New Roman" w:hAnsi="Times New Roman"/>
          <w:b/>
          <w:i w:val="false"/>
          <w:color w:val="000000"/>
          <w:sz w:val="22"/>
        </w:rPr>
        <w:t xml:space="preserve">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The authority will prepare a loan agreement after an application has been approved by the authority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color w:val="000000"/>
          <w:sz w:val="22"/>
        </w:rPr>
        <w:t xml:space="preserve">Loan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Interest rates. </w:t>
      </w:r>
      <w:r>
        <w:rPr>
          <w:rFonts w:ascii="Times New Roman" w:hAnsi="Times New Roman"/>
          <w:b w:val="false"/>
          <w:i w:val="false"/>
          <w:color w:val="000000"/>
          <w:sz w:val="22"/>
        </w:rPr>
        <w:t>The authority shall determine loan interest rates in cooperation with the department to be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Recipients shall pay a one-time fee at the time of closing of the loan in an amount equal to 2 percent of the amount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Revenue pledge. </w:t>
      </w:r>
      <w:r>
        <w:rPr>
          <w:rFonts w:ascii="Times New Roman" w:hAnsi="Times New Roman"/>
          <w:b w:val="false"/>
          <w:i w:val="false"/>
          <w:color w:val="000000"/>
          <w:sz w:val="22"/>
        </w:rPr>
        <w:t>The loan recipient shall establish sufficient revenue sources for the repayment of the loan, as determined by the authority. To ensure repayment of obligations according to the terms of the loan agreement, the loan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At the discretion of the director or director’s designee, the authority may require revenue sources and coverage in excess of 110 percent of the amount necessary to pay all revenue obligations if the loan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first lien upon the loan recipient’s net revenues. Loans secured by net revenues may rank on a parity basis with other outstanding obligations, or, with the approval of the director or director’s designee, those loans may be subordinate in right of payment to the loan recipient’s other outstanding revenue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general obligation of the loan recipient, and the loan recipient may achieve this through the provision for a levy of taxes to repay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payment schedules. </w:t>
      </w:r>
      <w:r>
        <w:rPr>
          <w:rFonts w:ascii="Times New Roman" w:hAnsi="Times New Roman"/>
          <w:b w:val="false"/>
          <w:i w:val="false"/>
          <w:color w:val="000000"/>
          <w:sz w:val="22"/>
        </w:rPr>
        <w:t>The loan agreement shall include an estimated construction drawdown schedule provided by the loan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color w:val="000000"/>
          <w:sz w:val="22"/>
        </w:rPr>
        <w:t xml:space="preserve">Loan commitments. </w:t>
      </w:r>
      <w:r>
        <w:rPr>
          <w:rFonts w:ascii="Times New Roman" w:hAnsi="Times New Roman"/>
          <w:b w:val="false"/>
          <w:i w:val="false"/>
          <w:color w:val="000000"/>
          <w:sz w:val="22"/>
        </w:rPr>
        <w:t>Loan funds are considered a binding commitment at the time a loan agreement is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The loan recipient shall use the program loan proceeds solely for the purpose of eligible costs of the approved project. The loan recipient must document all eligible costs to the satisfaction of the authority and the department before loan proceeds are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repayment period. </w:t>
      </w:r>
      <w:r>
        <w:rPr>
          <w:rFonts w:ascii="Times New Roman" w:hAnsi="Times New Roman"/>
          <w:b w:val="false"/>
          <w:i w:val="false"/>
          <w:color w:val="000000"/>
          <w:sz w:val="22"/>
        </w:rPr>
        <w:t>All loans shall be made contingent on the availability of funds. The maximum loan term will be 30 years. Repayment of the loan must begin no later than one year after the project is substantially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A loan recipient may prepay a loan, in whole or in part, on any date with the prior written consent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Funds shall be disbursed in accordance with the loan agreement. The loan agreement may allow for periodic disbursement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