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265—25.3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application,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val="false"/>
          <w:color w:val="000000"/>
          <w:sz w:val="22"/>
        </w:rPr>
        <w:t>Only projects included in the state project proposal list and compliant with the IUP are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used to provide a loan to a private entity for the acquisition of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val="false"/>
          <w:color w:val="000000"/>
          <w:sz w:val="22"/>
        </w:rPr>
        <w:t>The authority will consider the following when determining whether to provide a loan to an eligible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recipient’s financial 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 recipient’s willingness to accept all loan terms, conditions, and covenants;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priority of the project on the state proposed project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Funds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loan recipient has a record of violations of the law that over a period of time tends to show a consistent pattern or that establishes intentional, criminal, or reckless conduct in violation of such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val="false"/>
          <w:color w:val="000000"/>
          <w:sz w:val="22"/>
        </w:rPr>
        <w:t>Applications for loans shall be submitted to the authority in the form and content established by the authority. The application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 project budget, and estimated project timeline;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requested loan amount and loan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security for the loan and documentation that approval processes have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status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other sources of funds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pro forma cash flow analysis in a form acceptable to the authority that demonstrates that the net revenues of the borrower are sufficient pursuant to paragraph </w:t>
      </w:r>
      <w:hyperlink r:id="rId4">
        <w:r>
          <w:rPr>
            <w:rStyle w:val="Hyperlink"/>
            <w:rFonts w:ascii="Times New Roman" w:hAnsi="Times New Roman"/>
            <w:b w:val="false"/>
            <w:i w:val="false"/>
            <w:color w:val="000000"/>
            <w:sz w:val="22"/>
          </w:rPr>
          <w:t>25.4(2)</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that technical and environmental review has been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reasonably requested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val="false"/>
          <w:color w:val="000000"/>
          <w:sz w:val="22"/>
        </w:rPr>
        <w:t>Subsequent segments of a project that have been previously awarded financial assistance will receive priority over new projects. Loans made for separate segments of a project will be administered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w:t>
      </w:r>
      <w:r>
        <w:rPr>
          <w:rFonts w:ascii="Times New Roman" w:hAnsi="Times New Roman"/>
          <w:b w:val="false"/>
          <w:i w:val="false"/>
          <w:color w:val="000000"/>
          <w:sz w:val="22"/>
        </w:rPr>
        <w:t> </w:t>
      </w:r>
      <w:r>
        <w:rPr>
          <w:rFonts w:ascii="Times New Roman" w:hAnsi="Times New Roman"/>
          <w:b w:val="false"/>
          <w:i w:val="false"/>
          <w:color w:val="000000"/>
          <w:sz w:val="22"/>
        </w:rPr>
        <w:t>Requested loan amounts may be adjusted to reflect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w:t>
      </w:r>
      <w:r>
        <w:rPr>
          <w:rFonts w:ascii="Times New Roman" w:hAnsi="Times New Roman"/>
          <w:b w:val="false"/>
          <w:i w:val="false"/>
          <w:color w:val="000000"/>
          <w:sz w:val="22"/>
        </w:rPr>
        <w:t> </w:t>
      </w:r>
      <w:r>
        <w:rPr>
          <w:rFonts w:ascii="Times New Roman" w:hAnsi="Times New Roman"/>
          <w:b w:val="false"/>
          <w:i w:val="false"/>
          <w:color w:val="000000"/>
          <w:sz w:val="22"/>
        </w:rPr>
        <w:t>Complete and eligible loan applications that are recommended for approval based on the criteria in these rules will be considered by the authority board. The board may approve, deny, or defer an application for a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25.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