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481—1.2</w:t>
      </w:r>
      <w:r>
        <w:rPr>
          <w:rFonts w:ascii="Times New Roman" w:hAnsi="Times New Roman"/>
          <w:b/>
          <w:i w:val="false"/>
          <w:color w:val="000000"/>
          <w:sz w:val="22"/>
        </w:rPr>
        <w:t xml:space="preserve">(10A)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Overview of the department. </w:t>
      </w:r>
      <w:r>
        <w:rPr>
          <w:rFonts w:ascii="Times New Roman" w:hAnsi="Times New Roman"/>
          <w:b w:val="false"/>
          <w:i w:val="false"/>
          <w:color w:val="000000"/>
          <w:sz w:val="22"/>
        </w:rPr>
        <w:t xml:space="preserve">The department of inspections, appeals, and licensing is established by Iowa Code section </w:t>
      </w:r>
      <w:hyperlink r:id="rId4">
        <w:r>
          <w:rPr>
            <w:rStyle w:val="Hyperlink"/>
            <w:rFonts w:ascii="Times New Roman" w:hAnsi="Times New Roman"/>
            <w:b w:val="false"/>
            <w:i w:val="false"/>
            <w:color w:val="000000"/>
            <w:sz w:val="22"/>
          </w:rPr>
          <w:t>10A.102</w:t>
        </w:r>
      </w:hyperlink>
      <w:r>
        <w:rPr>
          <w:rFonts w:ascii="Times New Roman" w:hAnsi="Times New Roman"/>
          <w:b w:val="false"/>
          <w:i w:val="false"/>
          <w:color w:val="000000"/>
          <w:sz w:val="22"/>
        </w:rPr>
        <w:t xml:space="preserve"> and was created for the purpose of coordinating and conducting various audits, appeals, hearings, inspections, investigations, and licensing activities related to the operations of the executive branch of state government and administering the laws relating to employment safety, labor standards, and workers’ compensation. The department’s mission is to achieve compliance through education, regulation, and due process for a safe and healthy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Director and delegation of director authority. </w:t>
      </w:r>
      <w:r>
        <w:rPr>
          <w:rFonts w:ascii="Times New Roman" w:hAnsi="Times New Roman"/>
          <w:b w:val="false"/>
          <w:i w:val="false"/>
          <w:color w:val="000000"/>
          <w:sz w:val="22"/>
        </w:rPr>
        <w:t xml:space="preserve">The director of the department is appointed in accordance with Iowa Code section </w:t>
      </w:r>
      <w:hyperlink r:id="rId5">
        <w:r>
          <w:rPr>
            <w:rStyle w:val="Hyperlink"/>
            <w:rFonts w:ascii="Times New Roman" w:hAnsi="Times New Roman"/>
            <w:b w:val="false"/>
            <w:i w:val="false"/>
            <w:color w:val="000000"/>
            <w:sz w:val="22"/>
          </w:rPr>
          <w:t>10A.102</w:t>
        </w:r>
      </w:hyperlink>
      <w:r>
        <w:rPr>
          <w:rFonts w:ascii="Times New Roman" w:hAnsi="Times New Roman"/>
          <w:b w:val="false"/>
          <w:i w:val="false"/>
          <w:color w:val="000000"/>
          <w:sz w:val="22"/>
        </w:rPr>
        <w:t>. The director may designate employee(s) to administer the department in the director’s absence. The director may also delegate the director’s authority to administer the department to other employees as determined necessary for efficient and effective department operations. Delegations of the director’s authority will be documented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 xml:space="preserve">The department is comprised of divisions as described in Iowa Code section </w:t>
      </w:r>
      <w:hyperlink r:id="rId6">
        <w:r>
          <w:rPr>
            <w:rStyle w:val="Hyperlink"/>
            <w:rFonts w:ascii="Times New Roman" w:hAnsi="Times New Roman"/>
            <w:b w:val="false"/>
            <w:i w:val="false"/>
            <w:color w:val="000000"/>
            <w:sz w:val="22"/>
          </w:rPr>
          <w:t>10A.106</w:t>
        </w:r>
      </w:hyperlink>
      <w:r>
        <w:rPr>
          <w:rFonts w:ascii="Times New Roman" w:hAnsi="Times New Roman"/>
          <w:b w:val="false"/>
          <w:i w:val="false"/>
          <w:color w:val="000000"/>
          <w:sz w:val="22"/>
        </w:rPr>
        <w:t xml:space="preserve"> and on the department’s website. The director may, from time to time, reorganize the department into administrative divisions to most efficiently and effectively carry out the department’s responsibilities, as permitted by law. Reorganization may include creating new divisions, eliminating existing divisions, or combining divisions as the director deems necessary. Nothing herein prevents flexibility in interdepartmental operations or forbids divisional allocations of duties in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Attached units. </w:t>
      </w:r>
      <w:r>
        <w:rPr>
          <w:rFonts w:ascii="Times New Roman" w:hAnsi="Times New Roman"/>
          <w:b w:val="false"/>
          <w:i w:val="false"/>
          <w:color w:val="000000"/>
          <w:sz w:val="22"/>
        </w:rPr>
        <w:t xml:space="preserve">The state public defender, racing and gaming commission, Iowa office of civil rights, and employment appeal board operate as attached units to the department for administrative support in accordance with Iowa Code chapter </w:t>
      </w:r>
      <w:hyperlink r:id="rId7">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their authorizing statutes.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102.pdf" Type="http://schemas.openxmlformats.org/officeDocument/2006/relationships/hyperlink" Id="rId4"/>
    <Relationship TargetMode="External" Target="https://www.legis.iowa.gov/docs/ico/chapter/10A.102.pdf" Type="http://schemas.openxmlformats.org/officeDocument/2006/relationships/hyperlink" Id="rId5"/>
    <Relationship TargetMode="External" Target="https://www.legis.iowa.gov/docs/ico/chapter/10A.106.pdf" Type="http://schemas.openxmlformats.org/officeDocument/2006/relationships/hyperlink" Id="rId6"/>
    <Relationship TargetMode="External" Target="https://www.legis.iowa.gov/docs/ico/chapter/10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