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441—172.1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w:t>
      </w:r>
      <w:r>
        <w:rPr>
          <w:rFonts w:ascii="Times New Roman" w:hAnsi="Times New Roman"/>
          <w:b w:val="false"/>
          <w:i w:val="false"/>
          <w:color w:val="000000"/>
          <w:sz w:val="22"/>
        </w:rPr>
        <w:t> </w:t>
      </w:r>
      <w:r>
        <w:rPr>
          <w:rFonts w:ascii="Times New Roman" w:hAnsi="Times New Roman"/>
          <w:b w:val="false"/>
          <w:i w:val="false"/>
          <w:color w:val="000000"/>
          <w:sz w:val="22"/>
        </w:rPr>
        <w:t>means at least one child in a household is involved in department services with a department social work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“children”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or persons who meet the definition of a child in Iowa Code section </w:t>
      </w:r>
      <w:hyperlink r:id="rId4">
        <w:r>
          <w:rPr>
            <w:rStyle w:val="Hyperlink"/>
            <w:rFonts w:ascii="Times New Roman" w:hAnsi="Times New Roman"/>
            <w:b w:val="false"/>
            <w:i w:val="false"/>
            <w:color w:val="000000"/>
            <w:sz w:val="22"/>
          </w:rPr>
          <w:t>232.68(1)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abuse”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one or more of the categories of child abuse defined in Iowa Code section </w:t>
      </w:r>
      <w:hyperlink r:id="rId5">
        <w:r>
          <w:rPr>
            <w:rStyle w:val="Hyperlink"/>
            <w:rFonts w:ascii="Times New Roman" w:hAnsi="Times New Roman"/>
            <w:b w:val="false"/>
            <w:i w:val="false"/>
            <w:color w:val="000000"/>
            <w:sz w:val="22"/>
          </w:rPr>
          <w:t>232.68(2)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abuse assessment”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assessment process by which the department responds to all accepted reports that allege child abuse as defined in Iowa Code section </w:t>
      </w:r>
      <w:hyperlink r:id="rId6">
        <w:r>
          <w:rPr>
            <w:rStyle w:val="Hyperlink"/>
            <w:rFonts w:ascii="Times New Roman" w:hAnsi="Times New Roman"/>
            <w:b w:val="false"/>
            <w:i w:val="false"/>
            <w:color w:val="000000"/>
            <w:sz w:val="22"/>
          </w:rPr>
          <w:t>232.68(2)</w:t>
        </w:r>
      </w:hyperlink>
      <w:r>
        <w:rPr>
          <w:rFonts w:ascii="Times New Roman" w:hAnsi="Times New Roman"/>
          <w:b w:val="false"/>
          <w:i w:val="false"/>
          <w:color w:val="000000"/>
          <w:sz w:val="22"/>
        </w:rPr>
        <w:t xml:space="preserve">, or that allege child abuse as defined in Iowa Code section </w:t>
      </w:r>
      <w:hyperlink r:id="rId7">
        <w:r>
          <w:rPr>
            <w:rStyle w:val="Hyperlink"/>
            <w:rFonts w:ascii="Times New Roman" w:hAnsi="Times New Roman"/>
            <w:b w:val="false"/>
            <w:i w:val="false"/>
            <w:color w:val="000000"/>
            <w:sz w:val="22"/>
          </w:rPr>
          <w:t>232.68(2)</w:t>
        </w:r>
      </w:hyperlink>
      <w:r>
        <w:rPr>
          <w:rFonts w:ascii="Times New Roman" w:hAnsi="Times New Roman"/>
          <w:b w:val="false"/>
          <w:i w:val="false"/>
          <w:color w:val="000000"/>
          <w:sz w:val="22"/>
        </w:rPr>
        <w:t xml:space="preserve"> that also allege imminent danger, death, or injury to a child. A child abuse assessment results in a disposition and a determination of whether a case meets the definition of child abuse and a determination of whether criteria for placement on the registry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in need of assistance”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set forth in Iowa Code section </w:t>
      </w:r>
      <w:hyperlink r:id="rId8">
        <w:r>
          <w:rPr>
            <w:rStyle w:val="Hyperlink"/>
            <w:rFonts w:ascii="Times New Roman" w:hAnsi="Times New Roman"/>
            <w:b w:val="false"/>
            <w:i w:val="false"/>
            <w:color w:val="000000"/>
            <w:sz w:val="22"/>
          </w:rPr>
          <w:t>232.2(8)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private organization authorized to do business in Iowa that has entered into a contract with the department to provide one or more of the services defined in Iowa Code section </w:t>
      </w:r>
      <w:hyperlink r:id="rId9">
        <w:r>
          <w:rPr>
            <w:rStyle w:val="Hyperlink"/>
            <w:rFonts w:ascii="Times New Roman" w:hAnsi="Times New Roman"/>
            <w:b w:val="false"/>
            <w:i w:val="false"/>
            <w:color w:val="000000"/>
            <w:sz w:val="22"/>
          </w:rPr>
          <w:t>232.102A(2)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“Family-centered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services provided by contract pursuant to Iowa Code section </w:t>
      </w:r>
      <w:hyperlink r:id="rId10">
        <w:r>
          <w:rPr>
            <w:rStyle w:val="Hyperlink"/>
            <w:rFonts w:ascii="Times New Roman" w:hAnsi="Times New Roman"/>
            <w:b w:val="false"/>
            <w:i w:val="false"/>
            <w:color w:val="000000"/>
            <w:sz w:val="22"/>
          </w:rPr>
          <w:t>232.102A(2)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 risk assessment”</w:t>
      </w:r>
      <w:r>
        <w:rPr>
          <w:rFonts w:ascii="Times New Roman" w:hAnsi="Times New Roman"/>
          <w:b w:val="false"/>
          <w:i w:val="false"/>
          <w:color w:val="000000"/>
          <w:sz w:val="22"/>
        </w:rPr>
        <w:t> </w:t>
      </w:r>
      <w:r>
        <w:rPr>
          <w:rFonts w:ascii="Times New Roman" w:hAnsi="Times New Roman"/>
          <w:b w:val="false"/>
          <w:i w:val="false"/>
          <w:color w:val="000000"/>
          <w:sz w:val="22"/>
        </w:rPr>
        <w:t>means the assessment of probability or likelihood a child will suffer maltreatment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“Household”</w:t>
      </w:r>
      <w:r>
        <w:rPr>
          <w:rFonts w:ascii="Times New Roman" w:hAnsi="Times New Roman"/>
          <w:b w:val="false"/>
          <w:i w:val="false"/>
          <w:color w:val="000000"/>
          <w:sz w:val="22"/>
        </w:rPr>
        <w:t> </w:t>
      </w:r>
      <w:r>
        <w:rPr>
          <w:rFonts w:ascii="Times New Roman" w:hAnsi="Times New Roman"/>
          <w:b w:val="false"/>
          <w:i w:val="false"/>
          <w:color w:val="000000"/>
          <w:sz w:val="22"/>
        </w:rPr>
        <w:t>means the place where a child resides.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“Kinship foster caregiver”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set forth in </w:t>
      </w:r>
      <w:hyperlink r:id="rId11">
        <w:r>
          <w:rPr>
            <w:rStyle w:val="Hyperlink"/>
            <w:rFonts w:ascii="Times New Roman" w:hAnsi="Times New Roman"/>
            <w:b w:val="false"/>
            <w:i w:val="false"/>
            <w:color w:val="000000"/>
            <w:sz w:val="22"/>
          </w:rPr>
          <w:t>441—Chapter 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“Permanency”</w:t>
      </w:r>
      <w:r>
        <w:rPr>
          <w:rFonts w:ascii="Times New Roman" w:hAnsi="Times New Roman"/>
          <w:b w:val="false"/>
          <w:i w:val="false"/>
          <w:color w:val="000000"/>
          <w:sz w:val="22"/>
        </w:rPr>
        <w:t> </w:t>
      </w:r>
      <w:r>
        <w:rPr>
          <w:rFonts w:ascii="Times New Roman" w:hAnsi="Times New Roman"/>
          <w:b w:val="false"/>
          <w:i w:val="false"/>
          <w:color w:val="000000"/>
          <w:sz w:val="22"/>
        </w:rPr>
        <w:t>means a child has a safe, stable, custodial environment in which to grow up and a lifelong relationship with a nurturing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“Protective capacities”</w:t>
      </w:r>
      <w:r>
        <w:rPr>
          <w:rFonts w:ascii="Times New Roman" w:hAnsi="Times New Roman"/>
          <w:b w:val="false"/>
          <w:i w:val="false"/>
          <w:color w:val="000000"/>
          <w:sz w:val="22"/>
        </w:rPr>
        <w:t> </w:t>
      </w:r>
      <w:r>
        <w:rPr>
          <w:rFonts w:ascii="Times New Roman" w:hAnsi="Times New Roman"/>
          <w:b w:val="false"/>
          <w:i w:val="false"/>
          <w:color w:val="000000"/>
          <w:sz w:val="22"/>
        </w:rPr>
        <w:t>means the family strengths or resources that reduce, control, or prevent risks from arising or from having an unsafe impact on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“Risk”</w:t>
      </w:r>
      <w:r>
        <w:rPr>
          <w:rFonts w:ascii="Times New Roman" w:hAnsi="Times New Roman"/>
          <w:b w:val="false"/>
          <w:i w:val="false"/>
          <w:color w:val="000000"/>
          <w:sz w:val="22"/>
        </w:rPr>
        <w:t> </w:t>
      </w:r>
      <w:r>
        <w:rPr>
          <w:rFonts w:ascii="Times New Roman" w:hAnsi="Times New Roman"/>
          <w:b w:val="false"/>
          <w:i w:val="false"/>
          <w:color w:val="000000"/>
          <w:sz w:val="22"/>
        </w:rPr>
        <w:t>means the probability or likelihood that a child will experience maltreatment.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“Safe”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“safety”</w:t>
      </w:r>
      <w:r>
        <w:rPr>
          <w:rFonts w:ascii="Times New Roman" w:hAnsi="Times New Roman"/>
          <w:b w:val="false"/>
          <w:i w:val="false"/>
          <w:color w:val="000000"/>
          <w:sz w:val="22"/>
        </w:rPr>
        <w:t> </w:t>
      </w:r>
      <w:r>
        <w:rPr>
          <w:rFonts w:ascii="Times New Roman" w:hAnsi="Times New Roman"/>
          <w:b w:val="false"/>
          <w:i w:val="false"/>
          <w:color w:val="000000"/>
          <w:sz w:val="22"/>
        </w:rPr>
        <w:t>means that no signs of present or impending danger to a child are identified or that one or more signs of present or impending danger are identified but the child’s degree of vulnerability or the caregiver’s protective capacities offset the current threat. The child is not likely to be in imminent danger of maltreatment.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0672D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68.pdf" Type="http://schemas.openxmlformats.org/officeDocument/2006/relationships/hyperlink" Id="rId4"/>
    <Relationship TargetMode="External" Target="https://www.legis.iowa.gov/docs/ico/chapter/232.68.pdf" Type="http://schemas.openxmlformats.org/officeDocument/2006/relationships/hyperlink" Id="rId5"/>
    <Relationship TargetMode="External" Target="https://www.legis.iowa.gov/docs/ico/chapter/232.68.pdf" Type="http://schemas.openxmlformats.org/officeDocument/2006/relationships/hyperlink" Id="rId6"/>
    <Relationship TargetMode="External" Target="https://www.legis.iowa.gov/docs/ico/chapter/232.68.pdf" Type="http://schemas.openxmlformats.org/officeDocument/2006/relationships/hyperlink" Id="rId7"/>
    <Relationship TargetMode="External" Target="https://www.legis.iowa.gov/docs/ico/chapter/232.2.pdf" Type="http://schemas.openxmlformats.org/officeDocument/2006/relationships/hyperlink" Id="rId8"/>
    <Relationship TargetMode="External" Target="https://www.legis.iowa.gov/docs/ico/chapter/232.102A.pdf" Type="http://schemas.openxmlformats.org/officeDocument/2006/relationships/hyperlink" Id="rId9"/>
    <Relationship TargetMode="External" Target="https://www.legis.iowa.gov/docs/ico/chapter/232.102A.pdf" Type="http://schemas.openxmlformats.org/officeDocument/2006/relationships/hyperlink" Id="rId10"/>
    <Relationship TargetMode="External" Target="https://www.legis.iowa.gov/docs/iac/chapter/441.125.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