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441—158.4</w:t>
      </w:r>
      <w:r>
        <w:rPr>
          <w:rFonts w:ascii="Times New Roman" w:hAnsi="Times New Roman"/>
          <w:b/>
          <w:i w:val="false"/>
          <w:color w:val="000000"/>
          <w:sz w:val="22"/>
        </w:rPr>
        <w:t xml:space="preserve">(237) </w:t>
      </w:r>
      <w:r>
        <w:rPr>
          <w:rFonts w:ascii="Times New Roman" w:hAnsi="Times New Roman"/>
          <w:b/>
          <w:i w:val="false"/>
          <w:color w:val="000000"/>
          <w:sz w:val="22"/>
        </w:rPr>
        <w:t xml:space="preserve">Claim procedures. </w:t>
      </w:r>
      <w:r>
        <w:rPr>
          <w:rFonts w:ascii="Times New Roman" w:hAnsi="Times New Roman"/>
          <w:b w:val="false"/>
          <w:i w:val="false"/>
          <w:color w:val="000000"/>
          <w:sz w:val="22"/>
        </w:rPr>
        <w:t>Claims against the fund are filed with the department’s approved contractor. Claims shall be filed on the Foster Home Property Fund Notice of Loss form. The decision to approve or deny the claim will be made by the department. The claimant will be notified of the decision within 180 days of the date the claim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filing claims. </w:t>
      </w:r>
      <w:r>
        <w:rPr>
          <w:rFonts w:ascii="Times New Roman" w:hAnsi="Times New Roman"/>
          <w:b w:val="false"/>
          <w:i w:val="false"/>
          <w:color w:val="000000"/>
          <w:sz w:val="22"/>
        </w:rPr>
        <w:t>Claims shall be submitted within six months of the date of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158.4(2)</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Claimants dissatisfied with the decision may request a fair hearing under the provisions of </w:t>
      </w:r>
      <w:hyperlink r:id="rId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0671D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