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441—158.2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Payments from the foster home insurance fund.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158.2(1)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Eligible foster family claims. The foster home insurance fund shall pay the following within the limits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237.13(1)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Valid and approved claims of a licensed foster family home.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Compensation to licensed foster families for personal or real property damage and auto physical damage as a result of the activities of the family foster care child. Coverage also extends to third-party property damages caused by actions of the family foster care child.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158.2(2)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Non-property-based liability, bodily injury, sexual abuse or molestation, auto liability, and professional liability are not covered.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0671D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10/14/26, effective 12/1/26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37.13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