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441—152.3</w:t>
      </w:r>
      <w:r>
        <w:rPr>
          <w:rFonts w:ascii="Times New Roman" w:hAnsi="Times New Roman"/>
          <w:b/>
          <w:i w:val="false"/>
          <w:color w:val="000000"/>
          <w:sz w:val="22"/>
        </w:rPr>
        <w:t xml:space="preserve">(234) </w:t>
      </w:r>
      <w:r>
        <w:rPr>
          <w:rFonts w:ascii="Times New Roman" w:hAnsi="Times New Roman"/>
          <w:b/>
          <w:i w:val="false"/>
          <w:color w:val="000000"/>
          <w:sz w:val="22"/>
        </w:rPr>
        <w:t xml:space="preserve">Provider reviews. </w:t>
      </w:r>
      <w:r>
        <w:rPr>
          <w:rFonts w:ascii="Times New Roman" w:hAnsi="Times New Roman"/>
          <w:b w:val="false"/>
          <w:i w:val="false"/>
          <w:color w:val="000000"/>
          <w:sz w:val="22"/>
        </w:rPr>
        <w:t>The department may, at its discretion, review any provider at any time. Records generated and maintained by the department or its fiscal agent may be used by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Review of provider records. </w:t>
      </w:r>
      <w:r>
        <w:rPr>
          <w:rFonts w:ascii="Times New Roman" w:hAnsi="Times New Roman"/>
          <w:b w:val="false"/>
          <w:i w:val="false"/>
          <w:color w:val="000000"/>
          <w:sz w:val="22"/>
        </w:rPr>
        <w:t>The department has the authority to conduct a scheduled or unannounced visit to evaluate the adequacy of service records in compliance with the policies and procedures for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Upon proper identification, authorized representatives of the department have the right to review the service and fiscal records of the provider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accurately paid claims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service records and fiscal records that substantiate claims submitted for payment during the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reported to the department have been handled as required under subrule </w:t>
      </w:r>
      <w:hyperlink r:id="rId4">
        <w:r>
          <w:rPr>
            <w:rStyle w:val="Hyperlink"/>
            <w:rFonts w:ascii="Times New Roman" w:hAnsi="Times New Roman"/>
            <w:b w:val="false"/>
            <w:i w:val="false"/>
            <w:color w:val="000000"/>
            <w:sz w:val="22"/>
          </w:rPr>
          <w:t>152.2(6)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department will select the appropriate method of conducting a review and will protect the confidential nature of the records being reviewed. The provider may be required to furnish records to the department. The provider may select the method of delivering any requested records to the department.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Comparing service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Interviewing clients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The department’s procedures for reviewing a provider’s service records may include the use of random sampling and extrapolation. When these procedures are used, all sampling will be performed within acceptable statistical methods, yielding not less than a 95 percent confidence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The review findings generated through the review procedure constitute prima facie evidence in all department proceedings of the number and amount of requests for payment as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Extrapolation. </w:t>
      </w:r>
      <w:r>
        <w:rPr>
          <w:rFonts w:ascii="Times New Roman" w:hAnsi="Times New Roman"/>
          <w:b w:val="false"/>
          <w:i w:val="false"/>
          <w:color w:val="000000"/>
          <w:sz w:val="22"/>
        </w:rPr>
        <w:t>Findings of the sample will be extrapolated for the review period. The total of the payments determined to be in error in the review sample will be divided by the total payments in the reviewed sample to calculate the percentage of dollars paid in error. This percentage will then be multiplied by the total payments in the review sample to determine the extrapolated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findings. </w:t>
      </w:r>
      <w:r>
        <w:rPr>
          <w:rFonts w:ascii="Times New Roman" w:hAnsi="Times New Roman"/>
          <w:b w:val="false"/>
          <w:i w:val="false"/>
          <w:color w:val="000000"/>
          <w:sz w:val="22"/>
        </w:rPr>
        <w:t>When the provider disagrees with the department’s review findings and the findings have been generated through sampling and extrapolation, the provider may present evidence to show that the sample was invalid. The burden of proof of compliance rests with the provider. The evidence may include a 100 percent review of the provider records used by the department in the drawing of the department’s sample. This review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not reviewed in the department’s sample complied with program regulations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152.3(5)</w:t>
      </w:r>
      <w:r>
        <w:rPr>
          <w:rFonts w:ascii="Times New Roman" w:hAnsi="Times New Roman"/>
          <w:b w:val="false"/>
          <w:i w:val="false"/>
          <w:color w:val="000000"/>
          <w:sz w:val="22"/>
        </w:rPr>
        <w:t> </w:t>
      </w:r>
      <w:r>
        <w:rPr>
          <w:rFonts w:ascii="Times New Roman" w:hAnsi="Times New Roman"/>
          <w:b w:val="false"/>
          <w:i/>
          <w:color w:val="000000"/>
          <w:sz w:val="22"/>
        </w:rPr>
        <w:t xml:space="preserve">Actions based on review findings.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report the results of a review of provider records to concerned parties consistent with the provisions of </w:t>
      </w:r>
      <w:hyperlink r:id="rId5">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overpayment is found, the department may do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repayment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sanctions provided for in rule </w:t>
      </w:r>
      <w:hyperlink r:id="rId6">
        <w:r>
          <w:rPr>
            <w:rStyle w:val="Hyperlink"/>
            <w:rFonts w:ascii="Times New Roman" w:hAnsi="Times New Roman"/>
            <w:b w:val="false"/>
            <w:i w:val="false"/>
            <w:color w:val="000000"/>
            <w:sz w:val="22"/>
          </w:rPr>
          <w:t>441—152.4</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Investigate and refer the matter to an agency empowered to prosecute.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52.2.pdf" Type="http://schemas.openxmlformats.org/officeDocument/2006/relationships/hyperlink" Id="rId4"/>
    <Relationship TargetMode="External" Target="https://www.legis.iowa.gov/docs/iac/chapter/441.2505.pdf" Type="http://schemas.openxmlformats.org/officeDocument/2006/relationships/hyperlink" Id="rId5"/>
    <Relationship TargetMode="External" Target="https://www.legis.iowa.gov/docs/iac/rule/441.152.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