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441—152.2</w:t>
      </w:r>
      <w:r>
        <w:rPr>
          <w:rFonts w:ascii="Times New Roman" w:hAnsi="Times New Roman"/>
          <w:b/>
          <w:i w:val="false"/>
          <w:color w:val="000000"/>
          <w:sz w:val="22"/>
        </w:rPr>
        <w:t xml:space="preserve">(234) </w:t>
      </w:r>
      <w:r>
        <w:rPr>
          <w:rFonts w:ascii="Times New Roman" w:hAnsi="Times New Roman"/>
          <w:b/>
          <w:i w:val="false"/>
          <w:color w:val="000000"/>
          <w:sz w:val="22"/>
        </w:rPr>
        <w:t xml:space="preserve">Conditions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Provider licensure. </w:t>
      </w:r>
      <w:r>
        <w:rPr>
          <w:rFonts w:ascii="Times New Roman" w:hAnsi="Times New Roman"/>
          <w:b w:val="false"/>
          <w:i w:val="false"/>
          <w:color w:val="000000"/>
          <w:sz w:val="22"/>
        </w:rPr>
        <w:t>A provider facility shall obtain licensure prior to accepting placements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Provider staffing. </w:t>
      </w:r>
      <w:r>
        <w:rPr>
          <w:rFonts w:ascii="Times New Roman" w:hAnsi="Times New Roman"/>
          <w:b w:val="false"/>
          <w:i w:val="false"/>
          <w:color w:val="000000"/>
          <w:sz w:val="22"/>
        </w:rPr>
        <w:t xml:space="preserve">At a minimum, all providers shall meet all licensure requirements for staff qualifications, training, and number of staff pursuant to 441—Chapter </w:t>
      </w:r>
      <w:hyperlink r:id="rId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108</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Provider charges. </w:t>
      </w:r>
      <w:r>
        <w:rPr>
          <w:rFonts w:ascii="Times New Roman" w:hAnsi="Times New Roman"/>
          <w:b w:val="false"/>
          <w:i w:val="false"/>
          <w:color w:val="000000"/>
          <w:sz w:val="22"/>
        </w:rPr>
        <w:t>A provider cannot charge department clients more than it receives for the same foster care services provided to nondepartment clients. The provider shall agree not to require any fee from department clients unless a fee is required by the department and is consistent with federal regulation and state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service records. </w:t>
      </w:r>
      <w:r>
        <w:rPr>
          <w:rFonts w:ascii="Times New Roman" w:hAnsi="Times New Roman"/>
          <w:b w:val="false"/>
          <w:i w:val="false"/>
          <w:color w:val="000000"/>
          <w:sz w:val="22"/>
        </w:rPr>
        <w:t>A provider shall maintain complete and legible records as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The service record shall include, at a minimum, those items identified in rule </w:t>
      </w:r>
      <w:hyperlink r:id="rId7">
        <w:r>
          <w:rPr>
            <w:rStyle w:val="Hyperlink"/>
            <w:rFonts w:ascii="Times New Roman" w:hAnsi="Times New Roman"/>
            <w:b w:val="false"/>
            <w:i w:val="false"/>
            <w:color w:val="000000"/>
            <w:sz w:val="22"/>
          </w:rPr>
          <w:t>441—114.11</w:t>
        </w:r>
      </w:hyperlink>
      <w:r>
        <w:rPr>
          <w:rFonts w:ascii="Times New Roman" w:hAnsi="Times New Roman"/>
          <w:b w:val="false"/>
          <w:i w:val="false"/>
          <w:color w:val="000000"/>
          <w:sz w:val="22"/>
        </w:rPr>
        <w:t xml:space="preserve">(237) and </w:t>
      </w:r>
      <w:hyperlink r:id="rId8">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and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reports, if requested by the referral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Authorization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documentation of billed per diem services. The 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day, and year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and last names of the persons who or organizations that provided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clear description of the specific service rendered, including interventions, actions, and activities performed that support the provision of child welfare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Notes, which shall be entered no less than every seven calendar days, indicating the child’s general progress in regard to the child’s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problem areas or unusual behavior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supervised apartment living, the provider shall establish and maintain confidential, individual service records for each client receiving supervised apartment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or failure to make records available to the department or to its authorized representatives upon request may result in a notice of violation and recoupment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financial and statistical records. </w:t>
      </w:r>
      <w:r>
        <w:rPr>
          <w:rFonts w:ascii="Times New Roman" w:hAnsi="Times New Roman"/>
          <w:b w:val="false"/>
          <w:i w:val="false"/>
          <w:color w:val="000000"/>
          <w:sz w:val="22"/>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financial and statistical records shall include all revenue and expenses supported by a provider’s general ledger and documentation on file in the provider’s office. These records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Payroll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asset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canceled checks, deposit slips, and invoices (paid and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Audit reports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minutes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Loan agreements and other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Reviewable, legible census reports and documentation of units of service provided to department clients that identify the individual client and are kept on a daily basis and summarized in a monthly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nondepartment clients, sufficient documentation of utilization to establish a complete unit of service 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list of all staff and supervisors providing foster care services and their qualifications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provider has an independent audit conducted, a firm not related to the provider shall conduct the audit. The provider shall submit a copy of the independent audit report to the department within 30 days of receipt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152.2(6)</w:t>
      </w:r>
      <w:r>
        <w:rPr>
          <w:rFonts w:ascii="Times New Roman" w:hAnsi="Times New Roman"/>
          <w:b w:val="false"/>
          <w:i w:val="false"/>
          <w:color w:val="000000"/>
          <w:sz w:val="22"/>
        </w:rPr>
        <w:t> </w:t>
      </w:r>
      <w:r>
        <w:rPr>
          <w:rFonts w:ascii="Times New Roman" w:hAnsi="Times New Roman"/>
          <w:b w:val="false"/>
          <w:i/>
          <w:color w:val="000000"/>
          <w:sz w:val="22"/>
        </w:rPr>
        <w:t xml:space="preserve">Cost report. </w:t>
      </w:r>
      <w:r>
        <w:rPr>
          <w:rFonts w:ascii="Times New Roman" w:hAnsi="Times New Roman"/>
          <w:b w:val="false"/>
          <w:i w:val="false"/>
          <w:color w:val="000000"/>
          <w:sz w:val="22"/>
        </w:rPr>
        <w:t>Providers shall complete the Combined Cost Report Form as required by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The cost report shall be submitted to the department no later than three months after the close of the provider’s established fiscal year. The provider may request a one-month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noncompliance with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County reimbursement for child welfare services shelter costs. </w:t>
      </w:r>
      <w:r>
        <w:rPr>
          <w:rFonts w:ascii="Times New Roman" w:hAnsi="Times New Roman"/>
          <w:b w:val="false"/>
          <w:i w:val="false"/>
          <w:color w:val="000000"/>
          <w:sz w:val="22"/>
        </w:rPr>
        <w:t xml:space="preserve">If a shelter care provider’s actual and allowable costs as set forth in </w:t>
      </w:r>
      <w:hyperlink r:id="rId9">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cannot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105.pdf" Type="http://schemas.openxmlformats.org/officeDocument/2006/relationships/hyperlink" Id="rId4"/>
    <Relationship TargetMode="External" Target="https://www.legis.iowa.gov/docs/iac/chapter/441.108.pdf" Type="http://schemas.openxmlformats.org/officeDocument/2006/relationships/hyperlink" Id="rId5"/>
    <Relationship TargetMode="External" Target="https://www.legis.iowa.gov/docs/iac/chapter/441.114.pdf" Type="http://schemas.openxmlformats.org/officeDocument/2006/relationships/hyperlink" Id="rId6"/>
    <Relationship TargetMode="External" Target="https://www.legis.iowa.gov/docs/iac/rule/441.114.11.pdf" Type="http://schemas.openxmlformats.org/officeDocument/2006/relationships/hyperlink" Id="rId7"/>
    <Relationship TargetMode="External" Target="https://www.legis.iowa.gov/docs/iac/chapter/441.105.pdf" Type="http://schemas.openxmlformats.org/officeDocument/2006/relationships/hyperlink" Id="rId8"/>
    <Relationship TargetMode="External" Target="https://www.legis.iowa.gov/docs/iac/chapter/441.15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