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441—107.6</w:t>
      </w:r>
      <w:r>
        <w:rPr>
          <w:rFonts w:ascii="Times New Roman" w:hAnsi="Times New Roman"/>
          <w:b/>
          <w:i w:val="false"/>
          <w:color w:val="000000"/>
          <w:sz w:val="22"/>
        </w:rPr>
        <w:t xml:space="preserve">(600,234) </w:t>
      </w:r>
      <w:r>
        <w:rPr>
          <w:rFonts w:ascii="Times New Roman" w:hAnsi="Times New Roman"/>
          <w:b/>
          <w:i w:val="false"/>
          <w:color w:val="000000"/>
          <w:sz w:val="22"/>
        </w:rPr>
        <w:t xml:space="preserve">Renewal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107.6(1)</w:t>
      </w:r>
      <w:r>
        <w:rPr>
          <w:rFonts w:ascii="Times New Roman" w:hAnsi="Times New Roman"/>
          <w:b w:val="false"/>
          <w:i w:val="false"/>
          <w:color w:val="000000"/>
          <w:sz w:val="22"/>
        </w:rPr>
        <w:t> </w:t>
      </w:r>
      <w:r>
        <w:rPr>
          <w:rFonts w:ascii="Times New Roman" w:hAnsi="Times New Roman"/>
          <w:b w:val="false"/>
          <w:i/>
          <w:color w:val="000000"/>
          <w:sz w:val="22"/>
        </w:rPr>
        <w:t xml:space="preserve">Request for renewal. </w:t>
      </w:r>
      <w:r>
        <w:rPr>
          <w:rFonts w:ascii="Times New Roman" w:hAnsi="Times New Roman"/>
          <w:b w:val="false"/>
          <w:i w:val="false"/>
          <w:color w:val="000000"/>
          <w:sz w:val="22"/>
        </w:rPr>
        <w:t>To be recertified, the person shall submit a new Application for Certification of Adoption Investigator form at least 30 days before the expiration of the certificate. If no application is submitted, the certification will expire.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107.6(2)</w:t>
      </w:r>
      <w:r>
        <w:rPr>
          <w:rFonts w:ascii="Times New Roman" w:hAnsi="Times New Roman"/>
          <w:b w:val="false"/>
          <w:i w:val="false"/>
          <w:color w:val="000000"/>
          <w:sz w:val="22"/>
        </w:rPr>
        <w:t> </w:t>
      </w:r>
      <w:r>
        <w:rPr>
          <w:rFonts w:ascii="Times New Roman" w:hAnsi="Times New Roman"/>
          <w:b w:val="false"/>
          <w:i/>
          <w:color w:val="000000"/>
          <w:sz w:val="22"/>
        </w:rPr>
        <w:t xml:space="preserve">Evaluation of investigator. </w:t>
      </w:r>
      <w:r>
        <w:rPr>
          <w:rFonts w:ascii="Times New Roman" w:hAnsi="Times New Roman"/>
          <w:b w:val="false"/>
          <w:i w:val="false"/>
          <w:color w:val="000000"/>
          <w:sz w:val="22"/>
        </w:rPr>
        <w:t>Upon receipt of the request for recertification, the department investigators’ records shall be reviewed and evaluated by the licensor to determine whether the requirements of these rules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evaluation shall include the review of 20 percent or no fewer than four of the adoption records opened since the last review for certification and the fees assessed to clients. Reports of investigations will be available to the licensor during the review for recertification, or at any other time upon request by the licensor.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deficiencies are noted at the time of review, the investigator shall be given up to 30 days to meet the standards set forth in </w:t>
      </w:r>
      <w:hyperlink r:id="rId4">
        <w:r>
          <w:rPr>
            <w:rStyle w:val="Hyperlink"/>
            <w:rFonts w:ascii="Times New Roman" w:hAnsi="Times New Roman"/>
            <w:b w:val="false"/>
            <w:i w:val="false"/>
            <w:color w:val="000000"/>
            <w:sz w:val="22"/>
          </w:rPr>
          <w:t>441—Chapter 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deficiencies shall be noted in writing and the investigator shall sign a statement that includes agreement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deficiencies noted by the licensor, including the areas of </w:t>
      </w:r>
      <w:hyperlink r:id="rId5">
        <w:r>
          <w:rPr>
            <w:rStyle w:val="Hyperlink"/>
            <w:rFonts w:ascii="Times New Roman" w:hAnsi="Times New Roman"/>
            <w:b w:val="false"/>
            <w:i w:val="false"/>
            <w:color w:val="000000"/>
            <w:sz w:val="22"/>
          </w:rPr>
          <w:t>441—Chapter 107</w:t>
        </w:r>
      </w:hyperlink>
      <w:r>
        <w:rPr>
          <w:rFonts w:ascii="Times New Roman" w:hAnsi="Times New Roman"/>
          <w:b w:val="false"/>
          <w:i w:val="false"/>
          <w:color w:val="000000"/>
          <w:sz w:val="22"/>
        </w:rPr>
        <w:t xml:space="preserve"> that are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plan for correcting the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by which the deficiencies will be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deficiencies are corrected within the time frame granted, the certificate will be renewed. Deficiencies not corrected within the allowed time frame are grounds for revocation of the investigator’s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107.6(3)</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department will notify the investigator of the decision regarding the initial application, and any applications for recertification, within 60 days of receipt of the application. When the request for recertification is not received prior to the date of expiration, the department will notify the investigator that the certification has expired.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0669D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107.pdf" Type="http://schemas.openxmlformats.org/officeDocument/2006/relationships/hyperlink" Id="rId4"/>
    <Relationship TargetMode="External" Target="https://www.legis.iowa.gov/docs/iac/chapter/441.107.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