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441—107.4</w:t>
      </w:r>
      <w:r>
        <w:rPr>
          <w:rFonts w:ascii="Times New Roman" w:hAnsi="Times New Roman"/>
          <w:b/>
          <w:i w:val="false"/>
          <w:color w:val="000000"/>
          <w:sz w:val="22"/>
        </w:rPr>
        <w:t xml:space="preserve">(600,234) </w:t>
      </w:r>
      <w:r>
        <w:rPr>
          <w:rFonts w:ascii="Times New Roman" w:hAnsi="Times New Roman"/>
          <w:b/>
          <w:i w:val="false"/>
          <w:color w:val="000000"/>
          <w:sz w:val="22"/>
        </w:rPr>
        <w:t xml:space="preserve">Granting, 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Granting of certification. </w:t>
      </w:r>
      <w:r>
        <w:rPr>
          <w:rFonts w:ascii="Times New Roman" w:hAnsi="Times New Roman"/>
          <w:b w:val="false"/>
          <w:i w:val="false"/>
          <w:color w:val="000000"/>
          <w:sz w:val="22"/>
        </w:rPr>
        <w:t>When all of the requirements of this chapter are met, certification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or recertification will be denied or revoked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comply with the requirements listed in subrules </w:t>
      </w:r>
      <w:hyperlink r:id="rId4">
        <w:r>
          <w:rPr>
            <w:rStyle w:val="Hyperlink"/>
            <w:rFonts w:ascii="Times New Roman" w:hAnsi="Times New Roman"/>
            <w:b w:val="false"/>
            <w:i w:val="false"/>
            <w:color w:val="000000"/>
            <w:sz w:val="22"/>
          </w:rPr>
          <w:t>107.3(1)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107.3(2)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107.3(4)</w:t>
        </w:r>
      </w:hyperlink>
      <w:r>
        <w:rPr>
          <w:rFonts w:ascii="Times New Roman" w:hAnsi="Times New Roman"/>
          <w:b w:val="false"/>
          <w:i w:val="false"/>
          <w:color w:val="000000"/>
          <w:sz w:val="22"/>
        </w:rPr>
        <w:t xml:space="preserve"> and rules </w:t>
      </w:r>
      <w:hyperlink r:id="rId7">
        <w:r>
          <w:rPr>
            <w:rStyle w:val="Hyperlink"/>
            <w:rFonts w:ascii="Times New Roman" w:hAnsi="Times New Roman"/>
            <w:b w:val="false"/>
            <w:i w:val="false"/>
            <w:color w:val="000000"/>
            <w:sz w:val="22"/>
          </w:rPr>
          <w:t>441—107.9</w:t>
        </w:r>
      </w:hyperlink>
      <w:r>
        <w:rPr>
          <w:rFonts w:ascii="Times New Roman" w:hAnsi="Times New Roman"/>
          <w:b w:val="false"/>
          <w:i w:val="false"/>
          <w:color w:val="000000"/>
          <w:sz w:val="22"/>
        </w:rPr>
        <w:t xml:space="preserve">(600,234) and </w:t>
      </w:r>
      <w:hyperlink r:id="rId8">
        <w:r>
          <w:rPr>
            <w:rStyle w:val="Hyperlink"/>
            <w:rFonts w:ascii="Times New Roman" w:hAnsi="Times New Roman"/>
            <w:b w:val="false"/>
            <w:i w:val="false"/>
            <w:color w:val="000000"/>
            <w:sz w:val="22"/>
          </w:rPr>
          <w:t>441—107.10</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provide information required in subrule </w:t>
      </w:r>
      <w:hyperlink r:id="rId9">
        <w:r>
          <w:rPr>
            <w:rStyle w:val="Hyperlink"/>
            <w:rFonts w:ascii="Times New Roman" w:hAnsi="Times New Roman"/>
            <w:b w:val="false"/>
            <w:i w:val="false"/>
            <w:color w:val="000000"/>
            <w:sz w:val="22"/>
          </w:rPr>
          <w:t>107.3(3)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willfully or knowingly misrepresented information regarding qualifications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information about the certified investigator is received and verified by the department of inspections, appeals, and licensing, such as but not limited to failure to carry out the activities and duties as stated in this chapter, charging fees in excess of those specified in subrule </w:t>
      </w:r>
      <w:hyperlink r:id="rId10">
        <w:r>
          <w:rPr>
            <w:rStyle w:val="Hyperlink"/>
            <w:rFonts w:ascii="Times New Roman" w:hAnsi="Times New Roman"/>
            <w:b w:val="false"/>
            <w:i w:val="false"/>
            <w:color w:val="000000"/>
            <w:sz w:val="22"/>
          </w:rPr>
          <w:t>107.7(5)</w:t>
        </w:r>
      </w:hyperlink>
      <w:r>
        <w:rPr>
          <w:rFonts w:ascii="Times New Roman" w:hAnsi="Times New Roman"/>
          <w:b w:val="false"/>
          <w:i w:val="false"/>
          <w:color w:val="000000"/>
          <w:sz w:val="22"/>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after being warned in writing by the licensor, provided incomplete or inadequate information or inaccurate information in required reports as described in rule </w:t>
      </w:r>
      <w:hyperlink r:id="rId11">
        <w:r>
          <w:rPr>
            <w:rStyle w:val="Hyperlink"/>
            <w:rFonts w:ascii="Times New Roman" w:hAnsi="Times New Roman"/>
            <w:b w:val="false"/>
            <w:i w:val="false"/>
            <w:color w:val="000000"/>
            <w:sz w:val="22"/>
          </w:rPr>
          <w:t>441—107.7</w:t>
        </w:r>
      </w:hyperlink>
      <w:r>
        <w:rPr>
          <w:rFonts w:ascii="Times New Roman" w:hAnsi="Times New Roman"/>
          <w:b w:val="false"/>
          <w:i w:val="false"/>
          <w:color w:val="000000"/>
          <w:sz w:val="22"/>
        </w:rPr>
        <w:t>(600,234).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has a founded child abuse, dependent adult abuse or criminal record conviction unless an evaluation of the founded abuse or criminal conviction is conducted by the department of inspections, appeals, and licensing that concludes that the abuse or crime does not merit prohibition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aids or participates in an illegal placement or violates the statutes of Iowa Code chapter </w:t>
      </w:r>
      <w:hyperlink r:id="rId12">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applicant is denied certification or recertification based on an inability to meet the requirements, the applicant may reapply when the requirements for certification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07.3.pdf" Type="http://schemas.openxmlformats.org/officeDocument/2006/relationships/hyperlink" Id="rId4"/>
    <Relationship TargetMode="External" Target="https://www.legis.iowa.gov/docs/iac/rule/441.107.3.pdf" Type="http://schemas.openxmlformats.org/officeDocument/2006/relationships/hyperlink" Id="rId5"/>
    <Relationship TargetMode="External" Target="https://www.legis.iowa.gov/docs/iac/rule/441.107.3.pdf" Type="http://schemas.openxmlformats.org/officeDocument/2006/relationships/hyperlink" Id="rId6"/>
    <Relationship TargetMode="External" Target="https://www.legis.iowa.gov/docs/iac/rule/441.107.9.pdf" Type="http://schemas.openxmlformats.org/officeDocument/2006/relationships/hyperlink" Id="rId7"/>
    <Relationship TargetMode="External" Target="https://www.legis.iowa.gov/docs/iac/rule/441.107.10.pdf" Type="http://schemas.openxmlformats.org/officeDocument/2006/relationships/hyperlink" Id="rId8"/>
    <Relationship TargetMode="External" Target="https://www.legis.iowa.gov/docs/iac/rule/441.107.3.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ac/rule/441.107.7.pdf" Type="http://schemas.openxmlformats.org/officeDocument/2006/relationships/hyperlink" Id="rId11"/>
    <Relationship TargetMode="External" Target="https://www.legis.iowa.gov/docs/ico/chapter/600.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