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441—107.1</w:t>
      </w:r>
      <w:r>
        <w:rPr>
          <w:rFonts w:ascii="Times New Roman" w:hAnsi="Times New Roman"/>
          <w:b/>
          <w:i w:val="false"/>
          <w:color w:val="000000"/>
          <w:sz w:val="22"/>
        </w:rPr>
        <w:t xml:space="preserve">(600,234)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“Adoption work experience”</w:t>
      </w:r>
      <w:r>
        <w:rPr>
          <w:rFonts w:ascii="Times New Roman" w:hAnsi="Times New Roman"/>
          <w:b w:val="false"/>
          <w:i w:val="false"/>
          <w:color w:val="000000"/>
          <w:sz w:val="22"/>
        </w:rPr>
        <w:t> </w:t>
      </w:r>
      <w:r>
        <w:rPr>
          <w:rFonts w:ascii="Times New Roman" w:hAnsi="Times New Roman"/>
          <w:b w:val="false"/>
          <w:i w:val="false"/>
          <w:color w:val="000000"/>
          <w:sz w:val="22"/>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percentage of time related to provision of adoption services shall be considered as adoption work experience when job duties involve activities other than adoption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adoption investigator”</w:t>
      </w:r>
      <w:r>
        <w:rPr>
          <w:rFonts w:ascii="Times New Roman" w:hAnsi="Times New Roman"/>
          <w:b w:val="false"/>
          <w:i w:val="false"/>
          <w:color w:val="000000"/>
          <w:sz w:val="22"/>
        </w:rPr>
        <w:t> </w:t>
      </w:r>
      <w:r>
        <w:rPr>
          <w:rFonts w:ascii="Times New Roman" w:hAnsi="Times New Roman"/>
          <w:b w:val="false"/>
          <w:i w:val="false"/>
          <w:color w:val="000000"/>
          <w:sz w:val="22"/>
        </w:rPr>
        <w:t>means a person authorized by the department to provide background reports on birth parents, adoption preplacement investigations, postplacement supervision, and reports to the court within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