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441—103.9</w:t>
      </w:r>
      <w:r>
        <w:rPr>
          <w:rFonts w:ascii="Times New Roman" w:hAnsi="Times New Roman"/>
          <w:b/>
          <w:i w:val="false"/>
          <w:color w:val="000000"/>
          <w:sz w:val="22"/>
        </w:rPr>
        <w:t xml:space="preserve">(692A) </w:t>
      </w:r>
      <w:r>
        <w:rPr>
          <w:rFonts w:ascii="Times New Roman" w:hAnsi="Times New Roman"/>
          <w:b/>
          <w:i w:val="false"/>
          <w:color w:val="000000"/>
          <w:sz w:val="22"/>
        </w:rPr>
        <w:t xml:space="preserve">Sex offender registration. </w:t>
      </w:r>
      <w:r>
        <w:rPr>
          <w:rFonts w:ascii="Times New Roman" w:hAnsi="Times New Roman"/>
          <w:b w:val="false"/>
          <w:i w:val="false"/>
          <w:color w:val="000000"/>
          <w:sz w:val="22"/>
        </w:rPr>
        <w:t xml:space="preserve">A student who has been determined to be a sex offender as defined in Iowa Code section </w:t>
      </w:r>
      <w:hyperlink r:id="rId4">
        <w:r>
          <w:rPr>
            <w:rStyle w:val="Hyperlink"/>
            <w:rFonts w:ascii="Times New Roman" w:hAnsi="Times New Roman"/>
            <w:b w:val="false"/>
            <w:i w:val="false"/>
            <w:color w:val="000000"/>
            <w:sz w:val="22"/>
          </w:rPr>
          <w:t>692A.101(26)</w:t>
        </w:r>
      </w:hyperlink>
      <w:r>
        <w:rPr>
          <w:rFonts w:ascii="Times New Roman" w:hAnsi="Times New Roman"/>
          <w:b w:val="false"/>
          <w:i w:val="false"/>
          <w:color w:val="000000"/>
          <w:sz w:val="22"/>
        </w:rPr>
        <w:t xml:space="preserve"> must register as a sex offender before release from the facility unless the juvenile court finds that the student is exempted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When a student who is a juvenile offender has not previously registered, the superintendent or superintendent’s designee will provide the student with Form DCI-144, Notification of Registration Requirement, as required by the department of public safety in </w:t>
      </w:r>
      <w:hyperlink r:id="rId5">
        <w:r>
          <w:rPr>
            <w:rStyle w:val="Hyperlink"/>
            <w:rFonts w:ascii="Times New Roman" w:hAnsi="Times New Roman"/>
            <w:b w:val="false"/>
            <w:i w:val="false"/>
            <w:color w:val="000000"/>
            <w:sz w:val="22"/>
          </w:rPr>
          <w:t>661—subrule 83.3(1)</w:t>
        </w:r>
      </w:hyperlink>
      <w:r>
        <w:rPr>
          <w:rFonts w:ascii="Times New Roman" w:hAnsi="Times New Roman"/>
          <w:b w:val="false"/>
          <w:i w:val="false"/>
          <w:color w:val="000000"/>
          <w:sz w:val="22"/>
        </w:rPr>
        <w:t>. Failure to provide a juvenile offender with the notification form does not relieve the juvenile offender of the duty to register with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w:t>
      </w:r>
      <w:r>
        <w:rPr>
          <w:rFonts w:ascii="Times New Roman" w:hAnsi="Times New Roman"/>
          <w:b w:val="false"/>
          <w:i w:val="false"/>
          <w:color w:val="000000"/>
          <w:sz w:val="22"/>
        </w:rPr>
        <w:t> </w:t>
      </w:r>
      <w:r>
        <w:rPr>
          <w:rFonts w:ascii="Times New Roman" w:hAnsi="Times New Roman"/>
          <w:b w:val="false"/>
          <w:i/>
          <w:color w:val="000000"/>
          <w:sz w:val="22"/>
        </w:rPr>
        <w:t xml:space="preserve">Exemption from registration. </w:t>
      </w:r>
      <w:r>
        <w:rPr>
          <w:rFonts w:ascii="Times New Roman" w:hAnsi="Times New Roman"/>
          <w:b w:val="false"/>
          <w:i w:val="false"/>
          <w:color w:val="000000"/>
          <w:sz w:val="22"/>
        </w:rPr>
        <w:t>To exempt a juvenile offender from registration, the language in the order of adjudication or disposition must clearly state that the juvenile offender is exempted from the registration requirement. If a court order is silent, the registration requirement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order language does not clearly state that the juvenile offender is exempted from the registration process, then the responsibility rests with the juvenile offender to seek a clarifying order to be exempt from the registration process. A juvenile offender who seeks an exemption from the registration requirement has the obligation to prove that the juvenile offender deserves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judicial decision is deferred, registration shall be assumed to be required until the court orders otherwise. If the court order defers the decision to grant an exemption from registration until the juvenile offender’s treatment is completed, the language in the order should specify who tracks the case until the new court order is issued. If it is not clear who tracks the case, the juvenile offender is responsible to seek a clarifying order to be exempt from the registration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The superintendent or superintendent’s designee will provide the juvenile offender with Form DCI-145, Sex Offender Registration, as required by the department of public safety in </w:t>
      </w:r>
      <w:hyperlink r:id="rId6">
        <w:r>
          <w:rPr>
            <w:rStyle w:val="Hyperlink"/>
            <w:rFonts w:ascii="Times New Roman" w:hAnsi="Times New Roman"/>
            <w:b w:val="false"/>
            <w:i w:val="false"/>
            <w:color w:val="000000"/>
            <w:sz w:val="22"/>
          </w:rPr>
          <w:t>661—subrule 83.3(2)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juvenile offender is released from the facility, the superintendent or superintendent’s designee will submit the registration form to the division of criminal investigation of the department of public safety unless, by the time of release, the juvenile court finds that the juvenile should not be required to register as allowed by Iowa Code chapter </w:t>
      </w:r>
      <w:hyperlink r:id="rId7">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the sex offender registration will be maintained in the juvenile offender’s file at the facility.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692A.109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92A.101.pdf" Type="http://schemas.openxmlformats.org/officeDocument/2006/relationships/hyperlink" Id="rId4"/>
    <Relationship TargetMode="External" Target="https://www.legis.iowa.gov/docs/iac/rule/661.83.3.pdf" Type="http://schemas.openxmlformats.org/officeDocument/2006/relationships/hyperlink" Id="rId5"/>
    <Relationship TargetMode="External" Target="https://www.legis.iowa.gov/docs/iac/rule/661.83.3.pdf" Type="http://schemas.openxmlformats.org/officeDocument/2006/relationships/hyperlink" Id="rId6"/>
    <Relationship TargetMode="External" Target="https://www.legis.iowa.gov/docs/ico/chapter/692A.pdf" Type="http://schemas.openxmlformats.org/officeDocument/2006/relationships/hyperlink" Id="rId7"/>
    <Relationship TargetMode="External" Target="https://www.legis.iowa.gov/docs/ico/chapter/692A.109.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