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441—103.8</w:t>
      </w:r>
      <w:r>
        <w:rPr>
          <w:rFonts w:ascii="Times New Roman" w:hAnsi="Times New Roman"/>
          <w:b/>
          <w:i w:val="false"/>
          <w:color w:val="000000"/>
          <w:sz w:val="22"/>
        </w:rPr>
        <w:t xml:space="preserve">(218) </w:t>
      </w:r>
      <w:r>
        <w:rPr>
          <w:rFonts w:ascii="Times New Roman" w:hAnsi="Times New Roman"/>
          <w:b/>
          <w:i w:val="false"/>
          <w:color w:val="000000"/>
          <w:sz w:val="22"/>
        </w:rPr>
        <w:t xml:space="preserve">Grievances. </w:t>
      </w:r>
      <w:r>
        <w:rPr>
          <w:rFonts w:ascii="Times New Roman" w:hAnsi="Times New Roman"/>
          <w:b w:val="false"/>
          <w:i w:val="false"/>
          <w:color w:val="000000"/>
          <w:sz w:val="22"/>
        </w:rPr>
        <w:t>Any student who believes the student’s rights have been violated by the facility or who has a complaint concerning the student’s treatment at the facility may file a grievance. The student’s parent, guardian, family, or legal representative may file a grievance on behalf of the student by submitting the grievance in writing to the superintendent. If the grievance directly concerns the superintendent, the grievance will be reviewed by the division director or the division director’s designee. At any time during the grievance process, students retain their right to contact their attorney, juvenile court officer, the Iowa office of ombudsman, the division director or the division director’s designee, regardless of the outcome determined by the facility or the superintendent.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0668D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18.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