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441—103.6</w:t>
      </w:r>
      <w:r>
        <w:rPr>
          <w:rFonts w:ascii="Times New Roman" w:hAnsi="Times New Roman"/>
          <w:b/>
          <w:i w:val="false"/>
          <w:color w:val="000000"/>
          <w:sz w:val="22"/>
        </w:rPr>
        <w:t xml:space="preserve">(218) </w:t>
      </w:r>
      <w:r>
        <w:rPr>
          <w:rFonts w:ascii="Times New Roman" w:hAnsi="Times New Roman"/>
          <w:b/>
          <w:i w:val="false"/>
          <w:color w:val="000000"/>
          <w:sz w:val="22"/>
        </w:rPr>
        <w:t xml:space="preserve">Employment of students. </w:t>
      </w:r>
      <w:r>
        <w:rPr>
          <w:rFonts w:ascii="Times New Roman" w:hAnsi="Times New Roman"/>
          <w:b w:val="false"/>
          <w:i w:val="false"/>
          <w:color w:val="000000"/>
          <w:sz w:val="22"/>
        </w:rPr>
        <w:t>The facility will maintain and implement policies and procedures for the employment of students to help ensure the employer’s compliance with all applicable state and federal laws. Employers that want to hire a student must obtain approval from the superintendent or superintendent’s designee. The employer, the superintendent or superintendent’s designee, or the student shall have the right to terminate the employment at any time.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8.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