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441—103.2</w:t>
      </w:r>
      <w:r>
        <w:rPr>
          <w:rFonts w:ascii="Times New Roman" w:hAnsi="Times New Roman"/>
          <w:b/>
          <w:i w:val="false"/>
          <w:color w:val="000000"/>
          <w:sz w:val="22"/>
        </w:rPr>
        <w:t xml:space="preserve">(218) </w:t>
      </w:r>
      <w:r>
        <w:rPr>
          <w:rFonts w:ascii="Times New Roman" w:hAnsi="Times New Roman"/>
          <w:b/>
          <w:i w:val="false"/>
          <w:color w:val="000000"/>
          <w:sz w:val="22"/>
        </w:rPr>
        <w:t xml:space="preserve">Admission.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Population guidelines. </w:t>
      </w:r>
      <w:r>
        <w:rPr>
          <w:rFonts w:ascii="Times New Roman" w:hAnsi="Times New Roman"/>
          <w:b w:val="false"/>
          <w:i w:val="false"/>
          <w:color w:val="000000"/>
          <w:sz w:val="22"/>
        </w:rPr>
        <w:t>The facility population level will be based on the population guidelines that the judicial branch, in consultation with the department, develops on the number of students who may be placed at a juvenile facility at any one time. Pursuant to those guidelines and the responsibility of the superintendent for admission of students, the superintendent and the chief juvenile court officers will allocate to each judicial district the number of children from each district who may be placed in the facility for diagnosis and evaluation and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Acceptance of child. </w:t>
      </w:r>
      <w:r>
        <w:rPr>
          <w:rFonts w:ascii="Times New Roman" w:hAnsi="Times New Roman"/>
          <w:b w:val="false"/>
          <w:i w:val="false"/>
          <w:color w:val="000000"/>
          <w:sz w:val="22"/>
        </w:rPr>
        <w:t xml:space="preserve">A certified copy of the court order that complies with Iowa Code chapter </w:t>
      </w:r>
      <w:hyperlink r:id="rId4">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shall accompany the child to the facility, along with the relevant petitions.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will be accepted for evaluation as specified in the court order only when a diagnostic bed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 will be accepted into the regular program as specified in the court order only when a treatment bed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adjudicated as a child in need of assistance shall not be admitted to the state training school,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diagnosis and evaluation and then only when a current petition is on file that alleges the child to have committed a delinquent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child is also adjudicated delinquent and meets admission criteria for the state training school as a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superintendent or chief juvenile court officer shall notify the court when the appropriate space, service, or program is not available so that admission can be ordered when the facility can meet the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Time of admission. </w:t>
      </w:r>
      <w:r>
        <w:rPr>
          <w:rFonts w:ascii="Times New Roman" w:hAnsi="Times New Roman"/>
          <w:b w:val="false"/>
          <w:i w:val="false"/>
          <w:color w:val="000000"/>
          <w:sz w:val="22"/>
        </w:rPr>
        <w:t>When a child is to be admitted to the facility, arrangements will be agreed to by the facility for the date and time of the actual admission.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co/chapter/218.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