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441—103.12</w:t>
      </w:r>
      <w:r>
        <w:rPr>
          <w:rFonts w:ascii="Times New Roman" w:hAnsi="Times New Roman"/>
          <w:b/>
          <w:i w:val="false"/>
          <w:color w:val="000000"/>
          <w:sz w:val="22"/>
        </w:rPr>
        <w:t xml:space="preserve">(218) </w:t>
      </w:r>
      <w:r>
        <w:rPr>
          <w:rFonts w:ascii="Times New Roman" w:hAnsi="Times New Roman"/>
          <w:b/>
          <w:i w:val="false"/>
          <w:color w:val="000000"/>
          <w:sz w:val="22"/>
        </w:rPr>
        <w:t xml:space="preserve">Buildings and 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color w:val="000000"/>
          <w:sz w:val="22"/>
        </w:rPr>
        <w:t xml:space="preserve">Tours. </w:t>
      </w:r>
      <w:r>
        <w:rPr>
          <w:rFonts w:ascii="Times New Roman" w:hAnsi="Times New Roman"/>
          <w:b w:val="false"/>
          <w:i w:val="false"/>
          <w:color w:val="000000"/>
          <w:sz w:val="22"/>
        </w:rPr>
        <w:t>Tours of the facility will be subject to the prior approval of the superintendent or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color w:val="000000"/>
          <w:sz w:val="22"/>
        </w:rPr>
        <w:t xml:space="preserve">Public use. </w:t>
      </w:r>
      <w:r>
        <w:rPr>
          <w:rFonts w:ascii="Times New Roman" w:hAnsi="Times New Roman"/>
          <w:b w:val="false"/>
          <w:i w:val="false"/>
          <w:color w:val="000000"/>
          <w:sz w:val="22"/>
        </w:rPr>
        <w:t xml:space="preserve">Facility space is for the primary use of the facility. All public use of facility space shall require prior approval of the superintendent or superintendent’s designee. Approval for use will be based on the order of requests received and on space availability after the programmatic and security needs of the facility are met.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8.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