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481—740.9</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speech pathology or audiology will begin on January 1 of an even-numbered year and end on December 31 of the next odd-numbered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an initial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4">
        <w:r>
          <w:rPr>
            <w:rStyle w:val="Hyperlink"/>
            <w:rFonts w:ascii="Times New Roman" w:hAnsi="Times New Roman"/>
            <w:b w:val="false"/>
            <w:i w:val="false"/>
            <w:color w:val="000000"/>
            <w:sz w:val="22"/>
          </w:rPr>
          <w:t>481—742.2</w:t>
        </w:r>
      </w:hyperlink>
      <w:r>
        <w:rPr>
          <w:rFonts w:ascii="Times New Roman" w:hAnsi="Times New Roman"/>
          <w:b w:val="false"/>
          <w:i w:val="false"/>
          <w:color w:val="000000"/>
          <w:sz w:val="22"/>
        </w:rPr>
        <w:t xml:space="preserve">(147) and the mandatory reporting requirements of subrule </w:t>
      </w:r>
      <w:r>
        <w:rPr>
          <w:rFonts w:ascii="Times New Roman" w:hAnsi="Times New Roman"/>
          <w:b w:val="false"/>
          <w:i w:val="false"/>
          <w:color w:val="000000"/>
          <w:sz w:val="22"/>
        </w:rPr>
        <w:t>740.9(4)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examines, attends, counsels, or treats children, dependent adults, or both in the scope of a licensee’s professional practice will complete the applicable department of health and human services’ training relating to the identification and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740.10(4)</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5">
        <w:r>
          <w:rPr>
            <w:rStyle w:val="Hyperlink"/>
            <w:rFonts w:ascii="Times New Roman" w:hAnsi="Times New Roman"/>
            <w:b w:val="false"/>
            <w:i w:val="false"/>
            <w:color w:val="000000"/>
            <w:sz w:val="22"/>
          </w:rPr>
          <w:t>481—subrule 507.20(3)</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740.9(8)</w:t>
      </w:r>
      <w:r>
        <w:rPr>
          <w:rFonts w:ascii="Times New Roman" w:hAnsi="Times New Roman"/>
          <w:b w:val="false"/>
          <w:i w:val="false"/>
          <w:color w:val="000000"/>
          <w:sz w:val="22"/>
        </w:rPr>
        <w:t> </w:t>
      </w:r>
      <w:r>
        <w:rPr>
          <w:rFonts w:ascii="Times New Roman" w:hAnsi="Times New Roman"/>
          <w:b w:val="false"/>
          <w:i w:val="false"/>
          <w:color w:val="000000"/>
          <w:sz w:val="22"/>
        </w:rPr>
        <w:t>Inactive license. A licensee who fails to renew the license by the end of the grace period has an inactive license. A licensee whose license is inactive continues to hold the privilege of licensure in Iowa, but may not practice until the license is reactivated.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740.9(9)</w:t>
      </w:r>
      <w:r>
        <w:rPr>
          <w:rFonts w:ascii="Times New Roman" w:hAnsi="Times New Roman"/>
          <w:b w:val="false"/>
          <w:i w:val="false"/>
          <w:color w:val="000000"/>
          <w:sz w:val="22"/>
        </w:rPr>
        <w:t> </w:t>
      </w:r>
      <w:r>
        <w:rPr>
          <w:rFonts w:ascii="Times New Roman" w:hAnsi="Times New Roman"/>
          <w:b w:val="false"/>
          <w:i w:val="false"/>
          <w:color w:val="000000"/>
          <w:sz w:val="22"/>
        </w:rPr>
        <w:t>Compact eligibility review. This rule applies to licensees who were licensed prior to enactment of this rule. In order to complete the compact eligibility review, at or prior to a licensee’s next renewal, the licensee must submit required waivers and fingerprints pursuant to the board-approved process to facilitate a national criminal history background check. The cost for the evaluation of the fingerprint packet and the DCI and the FBI criminal history background checks will be assessed to the applicant. The board may withhold issuing a license pending receipt of a report from the DCI and the FBI.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0596D</w:t>
      </w:r>
      <w:r>
        <w:rPr>
          <w:rFonts w:ascii="Times New Roman" w:hAnsi="Times New Roman"/>
          <w:b w:val="false"/>
          <w:i w:val="false"/>
          <w:color w:val="000000"/>
          <w:sz w:val="16"/>
        </w:rPr>
        <w:t>, IAB 9/16/26, effective 7/1/27</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42.2.pdf" Type="http://schemas.openxmlformats.org/officeDocument/2006/relationships/hyperlink" Id="rId4"/>
    <Relationship TargetMode="External" Target="https://www.legis.iowa.gov/docs/iac/rule/481.507.20.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