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481—740.3</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740.3(1)</w:t>
      </w:r>
      <w:r>
        <w:rPr>
          <w:rFonts w:ascii="Times New Roman" w:hAnsi="Times New Roman"/>
          <w:b w:val="false"/>
          <w:i w:val="false"/>
          <w:color w:val="000000"/>
          <w:sz w:val="22"/>
        </w:rPr>
        <w:t> </w:t>
      </w:r>
      <w:r>
        <w:rPr>
          <w:rFonts w:ascii="Times New Roman" w:hAnsi="Times New Roman"/>
          <w:b w:val="false"/>
          <w:i w:val="false"/>
          <w:color w:val="000000"/>
          <w:sz w:val="22"/>
        </w:rPr>
        <w:t>The applicant shall possess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master’s degree from an accredited school, college or university with a major in speech pathology;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master’s or doctoral degree from an accredited school, college or university with a major in audiology.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740.3(2)</w:t>
      </w:r>
      <w:r>
        <w:rPr>
          <w:rFonts w:ascii="Times New Roman" w:hAnsi="Times New Roman"/>
          <w:b w:val="false"/>
          <w:i w:val="false"/>
          <w:color w:val="000000"/>
          <w:sz w:val="22"/>
        </w:rPr>
        <w:t> </w:t>
      </w:r>
      <w:r>
        <w:rPr>
          <w:rFonts w:ascii="Times New Roman" w:hAnsi="Times New Roman"/>
          <w:b w:val="false"/>
          <w:i w:val="false"/>
          <w:color w:val="000000"/>
          <w:sz w:val="22"/>
        </w:rPr>
        <w:t>Foreign-trained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Foreign-trained speech pathologist and audiologist applicants who do not hold a license in another state or U.S. territory shall provide an English translation and an equivalency evaluation at the licensee’s expense of the licensee’s educational credentials by one of the approved credential evaluation services on ABA’s or ASHA’s websites or approved by the board. The professional curriculum must be equivalent to that stated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Foreign-trained applicants who hold a license in another state or U.S. territory may apply for licensure by endorsement.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