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481—740.2</w:t>
      </w:r>
      <w:r>
        <w:rPr>
          <w:rFonts w:ascii="Times New Roman" w:hAnsi="Times New Roman"/>
          <w:b/>
          <w:i w:val="false"/>
          <w:color w:val="000000"/>
          <w:sz w:val="22"/>
        </w:rPr>
        <w:t xml:space="preserve">(147) </w:t>
      </w:r>
      <w:r>
        <w:rPr>
          <w:rFonts w:ascii="Times New Roman" w:hAnsi="Times New Roman"/>
          <w:b/>
          <w:i w:val="false"/>
          <w:color w:val="000000"/>
          <w:sz w:val="22"/>
        </w:rPr>
        <w:t xml:space="preserve">Initial licensure.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submit a completed online licensure application and pay the nonrefundable licensure fee specified in rule </w:t>
      </w:r>
      <w:hyperlink r:id="rId4">
        <w:r>
          <w:rPr>
            <w:rStyle w:val="Hyperlink"/>
            <w:rFonts w:ascii="Times New Roman" w:hAnsi="Times New Roman"/>
            <w:b w:val="false"/>
            <w:i w:val="false"/>
            <w:color w:val="000000"/>
            <w:sz w:val="22"/>
          </w:rPr>
          <w:t>481—507.20</w:t>
        </w:r>
      </w:hyperlink>
      <w:r>
        <w:rPr>
          <w:rFonts w:ascii="Times New Roman" w:hAnsi="Times New Roman"/>
          <w:b w:val="false"/>
          <w:i w:val="false"/>
          <w:color w:val="000000"/>
          <w:sz w:val="22"/>
        </w:rPr>
        <w:t>(147,154F).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740.2(2)</w:t>
      </w:r>
      <w:r>
        <w:rPr>
          <w:rFonts w:ascii="Times New Roman" w:hAnsi="Times New Roman"/>
          <w:b w:val="false"/>
          <w:i w:val="false"/>
          <w:color w:val="000000"/>
          <w:sz w:val="22"/>
        </w:rPr>
        <w:t> </w:t>
      </w:r>
      <w:r>
        <w:rPr>
          <w:rFonts w:ascii="Times New Roman" w:hAnsi="Times New Roman"/>
          <w:b w:val="false"/>
          <w:i w:val="false"/>
          <w:color w:val="000000"/>
          <w:sz w:val="22"/>
        </w:rPr>
        <w:t>Application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who did not complete the nine months of clinical experience under supervision of a licensed Iowa speech pathologist or audiologist, as appropriate, must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official copy of a current ASHA certificate of clinical competence;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ABA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complete the nine-month clinical experience under Iowa supervision may submit evidence of licensure requirements as outlined in paragraph </w:t>
      </w:r>
      <w:hyperlink r:id="rId5">
        <w:r>
          <w:rPr>
            <w:rStyle w:val="Hyperlink"/>
            <w:rFonts w:ascii="Times New Roman" w:hAnsi="Times New Roman"/>
            <w:b w:val="false"/>
            <w:i w:val="false"/>
            <w:color w:val="000000"/>
            <w:sz w:val="22"/>
          </w:rPr>
          <w:t>740.2(2)</w:t>
        </w:r>
        <w:r>
          <w:rPr>
            <w:rFonts w:ascii="Times New Roman" w:hAnsi="Times New Roman"/>
            <w:b w:val="false"/>
            <w:i/>
            <w:color w:val="000000"/>
            <w:sz w:val="22"/>
          </w:rPr>
          <w:t>“a”</w:t>
        </w:r>
      </w:hyperlink>
      <w:r>
        <w:rPr>
          <w:rFonts w:ascii="Times New Roman" w:hAnsi="Times New Roman"/>
          <w:b w:val="false"/>
          <w:i w:val="false"/>
          <w:color w:val="000000"/>
          <w:sz w:val="22"/>
        </w:rPr>
        <w:t xml:space="preserve"> or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showing proof of completion of not less than 400 hours of supervised clinical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nine months of full-time clinical experience, or equivalent, completed after the master’s degree, under the supervision of a licensed speech pathologist or audiologist or as a part of the doctoral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740.2(3)</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the District of Columbia or another state, territory, province or foreign country who has been a licensed speech pathologist or audiologist under the laws of another jurisdiction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6">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740.2(6)</w:t>
      </w:r>
      <w:r>
        <w:rPr>
          <w:rFonts w:ascii="Times New Roman" w:hAnsi="Times New Roman"/>
          <w:b w:val="false"/>
          <w:i w:val="false"/>
          <w:color w:val="000000"/>
          <w:sz w:val="22"/>
        </w:rPr>
        <w:t> </w:t>
      </w:r>
      <w:r>
        <w:rPr>
          <w:rFonts w:ascii="Times New Roman" w:hAnsi="Times New Roman"/>
          <w:b w:val="false"/>
          <w:i w:val="false"/>
          <w:color w:val="000000"/>
          <w:sz w:val="22"/>
        </w:rPr>
        <w:t>If the application is not completed according to the instructions, the application will not be reviewed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0596D</w:t>
      </w:r>
      <w:r>
        <w:rPr>
          <w:rFonts w:ascii="Times New Roman" w:hAnsi="Times New Roman"/>
          <w:b w:val="false"/>
          <w:i w:val="false"/>
          <w:color w:val="000000"/>
          <w:sz w:val="16"/>
        </w:rPr>
        <w:t>, IAB 9/16/26, effective 7/1/27</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7.20.pdf" Type="http://schemas.openxmlformats.org/officeDocument/2006/relationships/hyperlink" Id="rId4"/>
    <Relationship TargetMode="External" Target="https://www.legis.iowa.gov/docs/iac/rule/481.740.2.pdf" Type="http://schemas.openxmlformats.org/officeDocument/2006/relationships/hyperlink" Id="rId5"/>
    <Relationship TargetMode="External" Target="https://www.legis.iowa.gov/docs/iac/rule/481.501.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