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481—470.4</w:t>
      </w:r>
      <w:r>
        <w:rPr>
          <w:rFonts w:ascii="Times New Roman" w:hAnsi="Times New Roman"/>
          <w:b/>
          <w:i w:val="false"/>
          <w:color w:val="000000"/>
          <w:sz w:val="22"/>
        </w:rPr>
        <w:t xml:space="preserve">(10A) </w:t>
      </w:r>
      <w:r>
        <w:rPr>
          <w:rFonts w:ascii="Times New Roman" w:hAnsi="Times New Roman"/>
          <w:b/>
          <w:i w:val="false"/>
          <w:color w:val="000000"/>
          <w:sz w:val="22"/>
        </w:rPr>
        <w:t xml:space="preserve">Course approval and standards. </w:t>
      </w:r>
      <w:r>
        <w:rPr>
          <w:rFonts w:ascii="Times New Roman" w:hAnsi="Times New Roman"/>
          <w:b w:val="false"/>
          <w:i w:val="false"/>
          <w:color w:val="000000"/>
          <w:sz w:val="22"/>
        </w:rPr>
        <w:t xml:space="preserve">All lead professional training courses for initial certification and refresher training must be approved by the department. Training programs shall not state that they have been approved by the state of Iowa unless they have met the requirements of </w:t>
      </w:r>
      <w:hyperlink r:id="rId4">
        <w:r>
          <w:rPr>
            <w:rStyle w:val="Hyperlink"/>
            <w:rFonts w:ascii="Times New Roman" w:hAnsi="Times New Roman"/>
            <w:b w:val="false"/>
            <w:i w:val="false"/>
            <w:color w:val="000000"/>
            <w:sz w:val="22"/>
          </w:rPr>
          <w:t>641—70.4(10A)</w:t>
        </w:r>
      </w:hyperlink>
      <w:r>
        <w:rPr>
          <w:rFonts w:ascii="Times New Roman" w:hAnsi="Times New Roman"/>
          <w:b w:val="false"/>
          <w:i w:val="false"/>
          <w:color w:val="000000"/>
          <w:sz w:val="22"/>
        </w:rPr>
        <w:t xml:space="preserve"> and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w:t>
      </w:r>
      <w:r>
        <w:rPr>
          <w:rFonts w:ascii="Times New Roman" w:hAnsi="Times New Roman"/>
          <w:b w:val="false"/>
          <w:i w:val="false"/>
          <w:color w:val="000000"/>
          <w:sz w:val="22"/>
        </w:rPr>
        <w:t> </w:t>
      </w:r>
      <w:r>
        <w:rPr>
          <w:rFonts w:ascii="Times New Roman" w:hAnsi="Times New Roman"/>
          <w:b w:val="false"/>
          <w:i w:val="false"/>
          <w:color w:val="000000"/>
          <w:sz w:val="22"/>
        </w:rPr>
        <w:t>Training courses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program offering the course will employ a training manager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or graduate degree in building construction technology, engineering, industrial hygiene, safety, public health, or a related field; or two years of experience in managing a training program specializing in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designate a qualified principal instructor for each course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teaching workers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as a lead inspector/risk assessor, elevated blood lead (EBL) inspector/risk assessor, or lead abatement contractor. In the case of a course for training lead-safe renovators, the principal instructor may be certified as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instructor will be responsible for the organization of the course and oversight of the teaching of all course material. The training manager may designate guest instructors as needed to provide instruction specific to the lecture, hands-on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ensure the availability of, and provide adequate facilities for, the delivery of the lecture, course test, hands-on training, and assessment activities. This includes providing training equipment that reflects current work practices and maintaining or updating the equipment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manager shall maintain the validity and integrity of the hands-on skills assessment to ensure that it accurately evaluates the trainees’ performance of the work practices and procedures associated with the course topics contained in subrules </w:t>
      </w:r>
      <w:hyperlink r:id="rId5">
        <w:r>
          <w:rPr>
            <w:rStyle w:val="Hyperlink"/>
            <w:rFonts w:ascii="Times New Roman" w:hAnsi="Times New Roman"/>
            <w:b w:val="false"/>
            <w:i w:val="false"/>
            <w:color w:val="000000"/>
            <w:sz w:val="22"/>
          </w:rPr>
          <w:t>470.4(3) through 470.4(17)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maintain the validity and integrity of the course test to ensure that it accurately evaluates the trainees’ knowledge and retention of the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course test shall be developed in accordance with the test blueprint submitted with the course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issue unique course completion certificates to each student who passes the course. The course completion certificate shall be issued in color. The course completion certificate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name, last name and middle initial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and a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particular course that the student completed and the course length in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of course completion and test passage.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training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develop and implement a quality control plan. The plan shall be used to maintain and improve the quality of the training program over time. This plan shall contain at least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periodic revision of training materials and the course test to reflect changes in regulations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the training manager to conduct an annual review of the competency of the principal instructor and all other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program will offer courses that teach the work practice standards for conducting lead-based paint activities contained in rule </w:t>
      </w:r>
      <w:hyperlink r:id="rId6">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other standards developed by the department. These standards will be taught in the appropriate courses to provide trainees with the knowledge needed to perform the lead-based paint activities they are responsible for conducting.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each course meets the requirements in this rule for the number of training hours and hours of hands-on training. The training manager will ensure that any student who misses more than 20 minutes of class time makes up the time before taking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the training program complies at all times with all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of the lead training courses will be in accordance with the subjects described specifically in each lead discipline contained in rule </w:t>
      </w:r>
      <w:hyperlink r:id="rId7">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hands-on activities, denoted by an asterisk (*), shall include subjects that are also denoted with an asterisk (*) and listed in the related lead discipline contained in rule </w:t>
      </w:r>
      <w:hyperlink r:id="rId8">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Each lead training course will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will provide an introduction of the online certification system used by the department. The instructor will advise each student on the procedures needed to apply to the department for certification and provide information to each student on the procedures needed for taking the state certification examination. The instructor will also provide each student with a current copy of this chapter and </w:t>
      </w:r>
      <w:hyperlink r:id="rId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allow the department to audit the training program to verify the contents of the application for approval and for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maintain, and make available to the department,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specified in paragraph </w:t>
      </w:r>
      <w:hyperlink r:id="rId10">
        <w:r>
          <w:rPr>
            <w:rStyle w:val="Hyperlink"/>
            <w:rFonts w:ascii="Times New Roman" w:hAnsi="Times New Roman"/>
            <w:b w:val="false"/>
            <w:i w:val="false"/>
            <w:color w:val="000000"/>
            <w:sz w:val="22"/>
          </w:rPr>
          <w:t>470.4(2)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curriculum/course materials and documents reflecting any changes made to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course test blueprint and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how the hands-on assessment is conducted including but not limited to who conducts the assessment, how the skills are graded, what facilities are used, and the pass/fail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control plan as described in paragraph </w:t>
      </w:r>
      <w:hyperlink r:id="rId11">
        <w:r>
          <w:rPr>
            <w:rStyle w:val="Hyperlink"/>
            <w:rFonts w:ascii="Times New Roman" w:hAnsi="Times New Roman"/>
            <w:b w:val="false"/>
            <w:i w:val="false"/>
            <w:color w:val="000000"/>
            <w:sz w:val="22"/>
          </w:rPr>
          <w:t>470.4(1)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file for each student who has completed a course. Each student file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student’s test and answer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course completion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hands-on skill assessment,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as taken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file for each individual course that has been offered. Each file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instructors who taught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paper or electronic copy of the curriculum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test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times that each student was present at the course, including documentation of how a student made up missed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materials that have been submitted to the department as part of the program’s application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retain all required records at the address specified on the training program approval application for a minimum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notify the department within 30 days of changing the address specified on its training program approval application or transferring the records from that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at least seven days in advance of offering an approved course. The notification shall include the date(s), time(s), and location(s) where the approved course will be held. A training program shall notify the department at least 24 hours in advance of canceling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take a digital photograph of each student. The digital photograph shall be the same photograph that appears on the training certificate and is submitted to the department. The photograph shall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facing the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not be tilted.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cover approximately half of the photo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in front of a neutral or light-colored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will not wear any items that detract from the face, such as hats or sunglasses. Only head coverings worn for religious reasons may be worn. Religious head coverings may not cover the face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Photographs will be 24-bit color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roster each student who has taken the approved course into a database specified by the department. All students shall be rostered into the department database within 20 days of conclusion of an approved course. Rostering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completion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photograph of each student as taken by the training program in a format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470.4(2)</w:t>
      </w:r>
      <w:r>
        <w:rPr>
          <w:rFonts w:ascii="Times New Roman" w:hAnsi="Times New Roman"/>
          <w:b w:val="false"/>
          <w:i w:val="false"/>
          <w:color w:val="000000"/>
          <w:sz w:val="22"/>
        </w:rPr>
        <w:t> </w:t>
      </w:r>
      <w:r>
        <w:rPr>
          <w:rFonts w:ascii="Times New Roman" w:hAnsi="Times New Roman"/>
          <w:b w:val="false"/>
          <w:i w:val="false"/>
          <w:color w:val="000000"/>
          <w:sz w:val="22"/>
        </w:rPr>
        <w:t>If a training program desires approval of a course by the department, the training program will apply to the department for approval at least 90 days before the initial offering of the course. The department may allow courses to be offered sooner if the department completes the approval in less than 90 days.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program name, contact person,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 locations, including a description of the facilities and equipment to be used for lecture and hands-on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agenda, including approximate times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reference material, text, student manual, instructor manual, and audiovisual material used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qualifications of the training manager, principal instructor(s), and guest instructor(s). The following documents shall be submitted as evidence that training managers and principal instructors have the education, work experience, training requirements, or demonstrated experience required by subrule </w:t>
      </w:r>
      <w:hyperlink r:id="rId12">
        <w:r>
          <w:rPr>
            <w:rStyle w:val="Hyperlink"/>
            <w:rFonts w:ascii="Times New Roman" w:hAnsi="Times New Roman"/>
            <w:b w:val="false"/>
            <w:i w:val="false"/>
            <w:color w:val="000000"/>
            <w:sz w:val="22"/>
          </w:rPr>
          <w:t>470.4(1)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Certificates from lead-specific training courses, as evidence of meeting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course test blueprint.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and procedures that will be used for conducting the assessment of hands-on skills for each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Maximum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the quality control plan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a course must be at least 40 training hours with a minimum of 12 hours devoted to hands-on training activities (*). Lead inspector/risk assessor and elevated blood lead (EBL) inspector/risk assessor training courses will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an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Lead-based paint inspection methods, including selection of rooms and components for sampling or testing to determine if a property is free of lead-based paint as specified in the Guidelines for the Evaluation and Control of Lead-Based Paint Hazards in Housing ((2012), U.S. Department of Housing and Urban Development),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Visual risk assessment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visual assessments, lead hazard screens, clearance testing after lead abatement, clearance testing after renovation, reevaluation,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470.4(4)</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inspector/risk assessors and elevated blood lead (EBL) inspector/risk assessors who have already completed an approved sampling technician course, a course must be at least 20 training hours with a minimum of 8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inspector/risk assessor and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Lead-based paint inspection methods, including selection of rooms and components for sampling or testing to determine if a property is free of lead-based paint as specified in the work practice standards in rule </w:t>
      </w:r>
      <w:hyperlink r:id="rId13">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 including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lead hazard screens, reevaluation, and clearance testing after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470.4(5)</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elevated blood lead (EBL) inspector/risk assessor, a course must be at least a four-hour training course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responsibility of an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childhood lead poisoning prevention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EBL lead inspection protocol described in this chapter and the EBL inspection protocol recommended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and medical case management of lead-poisoned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effects of lead poisoning including an in-depth review of the scientific studies demonstrating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Chelation therapy including at what levels it is recommended and when it might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Risk of childhood lead exposure from adult occupations or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Case scenarios.*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470.4(6)</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a course must be at least 40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470.4(7)</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who have already completed an approved lead abatement worker course, a course must be at least 16 training hours with a minimum of 4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470.4(8)</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workers, a course must be at least 24 training hours with a minimum of 8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470.4(9)</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sampling technicians, a course must be at least 20 training hours with a minimum of 4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conducting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interior dust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exterior dust and soil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visual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Preparation of clearance testing reports for clearance testing after renovation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470.4(10)</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project designers, a course must be at least 48 instructional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470.4(11)</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contractor course, a course must be at least eight instructional training hours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470.4(12)</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worker course, a course must be at least 24 instructional training hours with a minimum of 4 hours devoted to hands-on activities (*)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lead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lead-safe renovators, a course must be at least eight instructional training hours with a minimum of two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lead-based paint activities, and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Renovation methods to minimize the creation of dust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methods of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Waste handling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470.4(14)</w:t>
      </w:r>
      <w:r>
        <w:rPr>
          <w:rFonts w:ascii="Times New Roman" w:hAnsi="Times New Roman"/>
          <w:b w:val="false"/>
          <w:i w:val="false"/>
          <w:color w:val="000000"/>
          <w:sz w:val="22"/>
        </w:rPr>
        <w:t> </w:t>
      </w:r>
      <w:r>
        <w:rPr>
          <w:rFonts w:ascii="Times New Roman" w:hAnsi="Times New Roman"/>
          <w:b w:val="false"/>
          <w:i w:val="false"/>
          <w:color w:val="000000"/>
          <w:sz w:val="22"/>
        </w:rPr>
        <w:t xml:space="preserve">A refresher training course for sampling technicians, lead abatement contractors, lead abatement workers, and project designers must be at least eight hours of training. Pursuant to the recertification requirements of subrule </w:t>
      </w:r>
      <w:hyperlink r:id="rId14">
        <w:r>
          <w:rPr>
            <w:rStyle w:val="Hyperlink"/>
            <w:rFonts w:ascii="Times New Roman" w:hAnsi="Times New Roman"/>
            <w:b w:val="false"/>
            <w:i w:val="false"/>
            <w:color w:val="000000"/>
            <w:sz w:val="22"/>
          </w:rPr>
          <w:t>470.5(6)</w:t>
        </w:r>
      </w:hyperlink>
      <w:r>
        <w:rPr>
          <w:rFonts w:ascii="Times New Roman" w:hAnsi="Times New Roman"/>
          <w:b w:val="false"/>
          <w:i w:val="false"/>
          <w:color w:val="000000"/>
          <w:sz w:val="22"/>
        </w:rPr>
        <w:t xml:space="preserve">, a refresher training course for lead inspector/risk assessors and elevated blood lead (EBL) inspector/risk assessors who completed an approved 24-hour training course must be at least 8 hours of training. Pursuant to the recertification requirements of subrule </w:t>
      </w:r>
      <w:hyperlink r:id="rId15">
        <w:r>
          <w:rPr>
            <w:rStyle w:val="Hyperlink"/>
            <w:rFonts w:ascii="Times New Roman" w:hAnsi="Times New Roman"/>
            <w:b w:val="false"/>
            <w:i w:val="false"/>
            <w:color w:val="000000"/>
            <w:sz w:val="22"/>
          </w:rPr>
          <w:t>470.5(6)</w:t>
        </w:r>
      </w:hyperlink>
      <w:r>
        <w:rPr>
          <w:rFonts w:ascii="Times New Roman" w:hAnsi="Times New Roman"/>
          <w:b w:val="false"/>
          <w:i w:val="false"/>
          <w:color w:val="000000"/>
          <w:sz w:val="22"/>
        </w:rPr>
        <w:t>, a refresher training course for lead inspector/risk assessors and EBL inspector/risk assessors must be at least 16 hours of training. A refresher training course for lead-safe renovators must be at least four hours of training. All refresher training courses shall cover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curriculum topics of the initial certification course for the appropriate discipline as listed in subrules </w:t>
      </w:r>
      <w:hyperlink r:id="rId16">
        <w:r>
          <w:rPr>
            <w:rStyle w:val="Hyperlink"/>
            <w:rFonts w:ascii="Times New Roman" w:hAnsi="Times New Roman"/>
            <w:b w:val="false"/>
            <w:i w:val="false"/>
            <w:color w:val="000000"/>
            <w:sz w:val="22"/>
          </w:rPr>
          <w:t>470.4(3) through 470.4(13)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overview of current safety practices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laws and regulations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technologies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470.4(15)</w:t>
      </w:r>
      <w:r>
        <w:rPr>
          <w:rFonts w:ascii="Times New Roman" w:hAnsi="Times New Roman"/>
          <w:b w:val="false"/>
          <w:i w:val="false"/>
          <w:color w:val="000000"/>
          <w:sz w:val="22"/>
        </w:rPr>
        <w:t> </w:t>
      </w:r>
      <w:r>
        <w:rPr>
          <w:rFonts w:ascii="Times New Roman" w:hAnsi="Times New Roman"/>
          <w:b w:val="false"/>
          <w:i w:val="false"/>
          <w:color w:val="000000"/>
          <w:sz w:val="22"/>
        </w:rPr>
        <w:t>Approvals of training courses shall expire three years after the date of issuance. The training manager will submit the following at least 30 days prior to the expiration date for a course to be reapproved: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contact person,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courses for which reapproval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to the training staff, facility, equipment, or course materials since the approval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signed by the training manager stating that the training program complies at all times with rule </w:t>
      </w:r>
      <w:hyperlink r:id="rId17">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470.4(16)</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a request for approval of a training course that has been approved by a state or tribe authorized by the U.S.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shall be approved if it meets the requirements of rule </w:t>
      </w:r>
      <w:hyperlink r:id="rId18">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course does not meet all of the requirements of </w:t>
      </w:r>
      <w:hyperlink r:id="rId1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 xml:space="preserve">(10A), the department shall inform the training provider of additional topics and training hours that are needed to meet the requirements of rule </w:t>
      </w:r>
      <w:hyperlink r:id="rId2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4.pdf" Type="http://schemas.openxmlformats.org/officeDocument/2006/relationships/hyperlink" Id="rId4"/>
    <Relationship TargetMode="External" Target="https://www.legis.iowa.gov/docs/iac/rule/481.470.4.pdf" Type="http://schemas.openxmlformats.org/officeDocument/2006/relationships/hyperlink" Id="rId5"/>
    <Relationship TargetMode="External" Target="https://www.legis.iowa.gov/docs/iac/rule/481.470.6.pdf" Type="http://schemas.openxmlformats.org/officeDocument/2006/relationships/hyperlink" Id="rId6"/>
    <Relationship TargetMode="External" Target="https://www.legis.iowa.gov/docs/iac/rule/481.470.4.pdf" Type="http://schemas.openxmlformats.org/officeDocument/2006/relationships/hyperlink" Id="rId7"/>
    <Relationship TargetMode="External" Target="https://www.legis.iowa.gov/docs/iac/rule/481.470.4.pdf" Type="http://schemas.openxmlformats.org/officeDocument/2006/relationships/hyperlink" Id="rId8"/>
    <Relationship TargetMode="External" Target="https://www.legis.iowa.gov/docs/iac/chapter/481.469.pdf" Type="http://schemas.openxmlformats.org/officeDocument/2006/relationships/hyperlink" Id="rId9"/>
    <Relationship TargetMode="External" Target="https://www.legis.iowa.gov/docs/iac/rule/481.470.4.pdf" Type="http://schemas.openxmlformats.org/officeDocument/2006/relationships/hyperlink" Id="rId10"/>
    <Relationship TargetMode="External" Target="https://www.legis.iowa.gov/docs/iac/rule/481.470.4.pdf" Type="http://schemas.openxmlformats.org/officeDocument/2006/relationships/hyperlink" Id="rId11"/>
    <Relationship TargetMode="External" Target="https://www.legis.iowa.gov/docs/iac/rule/481.470.4.pdf" Type="http://schemas.openxmlformats.org/officeDocument/2006/relationships/hyperlink" Id="rId12"/>
    <Relationship TargetMode="External" Target="https://www.legis.iowa.gov/docs/iac/rule/481.470.6.pdf" Type="http://schemas.openxmlformats.org/officeDocument/2006/relationships/hyperlink" Id="rId13"/>
    <Relationship TargetMode="External" Target="https://www.legis.iowa.gov/docs/iac/rule/481.470.5.pdf" Type="http://schemas.openxmlformats.org/officeDocument/2006/relationships/hyperlink" Id="rId14"/>
    <Relationship TargetMode="External" Target="https://www.legis.iowa.gov/docs/iac/rule/481.470.5.pdf" Type="http://schemas.openxmlformats.org/officeDocument/2006/relationships/hyperlink" Id="rId15"/>
    <Relationship TargetMode="External" Target="https://www.legis.iowa.gov/docs/iac/rule/481.470.4.pdf" Type="http://schemas.openxmlformats.org/officeDocument/2006/relationships/hyperlink" Id="rId16"/>
    <Relationship TargetMode="External" Target="https://www.legis.iowa.gov/docs/iac/rule/481.470.4.pdf" Type="http://schemas.openxmlformats.org/officeDocument/2006/relationships/hyperlink" Id="rId17"/>
    <Relationship TargetMode="External" Target="https://www.legis.iowa.gov/docs/iac/rule/481.470.4.pdf" Type="http://schemas.openxmlformats.org/officeDocument/2006/relationships/hyperlink" Id="rId18"/>
    <Relationship TargetMode="External" Target="https://www.legis.iowa.gov/docs/iac/rule/481.470.4.pdf" Type="http://schemas.openxmlformats.org/officeDocument/2006/relationships/hyperlink" Id="rId19"/>
    <Relationship TargetMode="External" Target="https://www.legis.iowa.gov/docs/iac/rule/481.470.4.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