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481—470.2</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“Adequate quality control”</w:t>
      </w:r>
      <w:r>
        <w:rPr>
          <w:rFonts w:ascii="Times New Roman" w:hAnsi="Times New Roman"/>
          <w:b w:val="false"/>
          <w:i w:val="false"/>
          <w:color w:val="000000"/>
          <w:sz w:val="22"/>
        </w:rPr>
        <w:t> </w:t>
      </w:r>
      <w:r>
        <w:rPr>
          <w:rFonts w:ascii="Times New Roman" w:hAnsi="Times New Roman"/>
          <w:b w:val="false"/>
          <w:i w:val="false"/>
          <w:color w:val="000000"/>
          <w:sz w:val="22"/>
        </w:rPr>
        <w:t>means a plan or design that ensures the authenticity, integrity, and accuracy of samples, including dust, soil, and paint chip or paint film samples. Adequate quality control also includes provisions for representative sampling.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course”</w:t>
      </w:r>
      <w:r>
        <w:rPr>
          <w:rFonts w:ascii="Times New Roman" w:hAnsi="Times New Roman"/>
          <w:b w:val="false"/>
          <w:i w:val="false"/>
          <w:color w:val="000000"/>
          <w:sz w:val="22"/>
        </w:rPr>
        <w:t> </w:t>
      </w:r>
      <w:r>
        <w:rPr>
          <w:rFonts w:ascii="Times New Roman" w:hAnsi="Times New Roman"/>
          <w:b w:val="false"/>
          <w:i w:val="false"/>
          <w:color w:val="000000"/>
          <w:sz w:val="22"/>
        </w:rPr>
        <w:t>means a course that has been approved by the department for the training of lead professionals.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“Approved lead-safe work practices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lead-safe work practices training program that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“Arithmetic mean”</w:t>
      </w:r>
      <w:r>
        <w:rPr>
          <w:rFonts w:ascii="Times New Roman" w:hAnsi="Times New Roman"/>
          <w:b w:val="false"/>
          <w:i w:val="false"/>
          <w:color w:val="000000"/>
          <w:sz w:val="22"/>
        </w:rPr>
        <w:t> </w:t>
      </w:r>
      <w:r>
        <w:rPr>
          <w:rFonts w:ascii="Times New Roman" w:hAnsi="Times New Roman"/>
          <w:b w:val="false"/>
          <w:i w:val="false"/>
          <w:color w:val="000000"/>
          <w:sz w:val="22"/>
        </w:rPr>
        <w:t>means the algebraic sum of data values divided by the number of data values.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elevated blood lead (EBL) inspector/risk assessor”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4">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firm”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firm that employs certified lead professionals and has met the requirements of rule </w:t>
      </w:r>
      <w:hyperlink r:id="rId5">
        <w:r>
          <w:rPr>
            <w:rStyle w:val="Hyperlink"/>
            <w:rFonts w:ascii="Times New Roman" w:hAnsi="Times New Roman"/>
            <w:b w:val="false"/>
            <w:i w:val="false"/>
            <w:color w:val="000000"/>
            <w:sz w:val="22"/>
          </w:rPr>
          <w:t>481—470.7</w:t>
        </w:r>
      </w:hyperlink>
      <w:r>
        <w:rPr>
          <w:rFonts w:ascii="Times New Roman" w:hAnsi="Times New Roman"/>
          <w:b w:val="false"/>
          <w:i w:val="false"/>
          <w:color w:val="000000"/>
          <w:sz w:val="22"/>
        </w:rPr>
        <w:t>(10A) for certification and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 abatement 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6">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 abatement worker”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7">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 inspector/risk assessor”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8">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certified by the department as a lead inspector/risk assessor, elevated blood lead (EBL) inspector/risk assessor, lead abatement contractor, lead abatement worker, project designer, sampling technician, or lead-safe renovator.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lead-safe renovator”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9">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project designer”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10">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for certification or interim certification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sampling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has met the requirements of rule </w:t>
      </w:r>
      <w:hyperlink r:id="rId11">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and who has been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“Chewable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painted with lead-based paint that a young child can mouth or chew. Surfaces can be considered chewable even if there is no evidence of teeth marks.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“Child-occupied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2">
        <w:r>
          <w:rPr>
            <w:rStyle w:val="Hyperlink"/>
            <w:rFonts w:ascii="Times New Roman" w:hAnsi="Times New Roman"/>
            <w:b w:val="false"/>
            <w:i w:val="false"/>
            <w:color w:val="000000"/>
            <w:sz w:val="22"/>
          </w:rPr>
          <w:t>10A.903</w:t>
        </w:r>
      </w:hyperlink>
      <w:r>
        <w:rPr>
          <w:rFonts w:ascii="Times New Roman" w:hAnsi="Times New Roman"/>
          <w:b w:val="false"/>
          <w:i w:val="false"/>
          <w:color w:val="000000"/>
          <w:sz w:val="22"/>
        </w:rPr>
        <w:t>. “Child-occupied facility” also includes any building where lead-based paint activities are conducted immediately prior to or during the conversion of the building to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“Cleaning verification card”</w:t>
      </w:r>
      <w:r>
        <w:rPr>
          <w:rFonts w:ascii="Times New Roman" w:hAnsi="Times New Roman"/>
          <w:b w:val="false"/>
          <w:i w:val="false"/>
          <w:color w:val="000000"/>
          <w:sz w:val="22"/>
        </w:rPr>
        <w:t> </w:t>
      </w:r>
      <w:r>
        <w:rPr>
          <w:rFonts w:ascii="Times New Roman" w:hAnsi="Times New Roman"/>
          <w:b w:val="false"/>
          <w:i w:val="false"/>
          <w:color w:val="000000"/>
          <w:sz w:val="22"/>
        </w:rPr>
        <w:t>means a card developed and distributed, or otherwise approved, by the U.S. Environmental Protection Agency (EPA) for the purpose of determining, through comparison of wet and dry disposable cleaning cloths with the card, whether postrenovation cleaning has been properly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“Clearance level”</w:t>
      </w:r>
      <w:r>
        <w:rPr>
          <w:rFonts w:ascii="Times New Roman" w:hAnsi="Times New Roman"/>
          <w:b w:val="false"/>
          <w:i w:val="false"/>
          <w:color w:val="000000"/>
          <w:sz w:val="22"/>
        </w:rPr>
        <w:t> </w:t>
      </w:r>
      <w:r>
        <w:rPr>
          <w:rFonts w:ascii="Times New Roman" w:hAnsi="Times New Roman"/>
          <w:b w:val="false"/>
          <w:i w:val="false"/>
          <w:color w:val="000000"/>
          <w:sz w:val="22"/>
        </w:rPr>
        <w:t>means the value at which the amount of lead in dust on a surface following completion of interim controls, lead abatement, paint stabilization, standard treatments, ongoing lead-based paint maintenance, rehabilitation, or renovation is a dust-lead hazard and fails clearance testing. The clearance level for a single-surface dust sample from a floor is greater than or equal to 5 micrograms per square foot. The clearance level for a single-surface dust sample from an interior windowsill is greater than or equal to 40 micrograms per square foot. The clearance level for a single-surface dust sample from a window trough is greater than or equal to 100 micrograms per square foot.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“Clearance testing”</w:t>
      </w:r>
      <w:r>
        <w:rPr>
          <w:rFonts w:ascii="Times New Roman" w:hAnsi="Times New Roman"/>
          <w:b w:val="false"/>
          <w:i w:val="false"/>
          <w:color w:val="000000"/>
          <w:sz w:val="22"/>
        </w:rPr>
        <w:t> </w:t>
      </w:r>
      <w:r>
        <w:rPr>
          <w:rFonts w:ascii="Times New Roman" w:hAnsi="Times New Roman"/>
          <w:b w:val="false"/>
          <w:i w:val="false"/>
          <w:color w:val="000000"/>
          <w:sz w:val="22"/>
        </w:rPr>
        <w:t>means an activity conducted following interim controls, lead abatement, paint stabilization, standard treatments, ongoing lead-based paint maintenance, rehabilitation, or renovation to determine that the hazard reduction activities are complete. Clearance testing includes a visual assessment, the collection and analysis of environmental samples, the interpretation of sampling results, and the preparation of a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“Common area”</w:t>
      </w:r>
      <w:r>
        <w:rPr>
          <w:rFonts w:ascii="Times New Roman" w:hAnsi="Times New Roman"/>
          <w:b w:val="false"/>
          <w:i w:val="false"/>
          <w:color w:val="000000"/>
          <w:sz w:val="22"/>
        </w:rPr>
        <w:t> </w:t>
      </w:r>
      <w:r>
        <w:rPr>
          <w:rFonts w:ascii="Times New Roman" w:hAnsi="Times New Roman"/>
          <w:b w:val="false"/>
          <w:i w:val="false"/>
          <w:color w:val="000000"/>
          <w:sz w:val="22"/>
        </w:rPr>
        <w:t>means a portion of the building that is generally accessible to all occupants. This includes, but is not limited to, hallways, stairways, laundry and recreational rooms, porches, exteriors, playgrounds, community centers, garages, and boundary fences.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“Common area group”</w:t>
      </w:r>
      <w:r>
        <w:rPr>
          <w:rFonts w:ascii="Times New Roman" w:hAnsi="Times New Roman"/>
          <w:b w:val="false"/>
          <w:i w:val="false"/>
          <w:color w:val="000000"/>
          <w:sz w:val="22"/>
        </w:rPr>
        <w:t> </w:t>
      </w:r>
      <w:r>
        <w:rPr>
          <w:rFonts w:ascii="Times New Roman" w:hAnsi="Times New Roman"/>
          <w:b w:val="false"/>
          <w:i w:val="false"/>
          <w:color w:val="000000"/>
          <w:sz w:val="22"/>
        </w:rPr>
        <w:t>means a group of common areas that are similar in design, construction, and function. Common area groups include but are not limited to hallways, stairwells, and laundry 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“Complete criminal record”</w:t>
      </w:r>
      <w:r>
        <w:rPr>
          <w:rFonts w:ascii="Times New Roman" w:hAnsi="Times New Roman"/>
          <w:b w:val="false"/>
          <w:i w:val="false"/>
          <w:color w:val="000000"/>
          <w:sz w:val="22"/>
        </w:rPr>
        <w:t> </w:t>
      </w:r>
      <w:r>
        <w:rPr>
          <w:rFonts w:ascii="Times New Roman" w:hAnsi="Times New Roman"/>
          <w:b w:val="false"/>
          <w:i w:val="false"/>
          <w:color w:val="000000"/>
          <w:sz w:val="22"/>
        </w:rPr>
        <w:t>includes the complaint and judgment of conviction for each offense of which the applicant has been convicted, regardless of whether the offense is classified as a felony or a misdemeanor, and regardless of the jurisdiction in which the offense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“Component”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“building component”</w:t>
      </w:r>
      <w:r>
        <w:rPr>
          <w:rFonts w:ascii="Times New Roman" w:hAnsi="Times New Roman"/>
          <w:b w:val="false"/>
          <w:i w:val="false"/>
          <w:color w:val="000000"/>
          <w:sz w:val="22"/>
        </w:rPr>
        <w:t> </w:t>
      </w:r>
      <w:r>
        <w:rPr>
          <w:rFonts w:ascii="Times New Roman" w:hAnsi="Times New Roman"/>
          <w:b w:val="false"/>
          <w:i w:val="false"/>
          <w:color w:val="000000"/>
          <w:sz w:val="22"/>
        </w:rPr>
        <w:t>means specific design or structural elements or fixtures of a building, residential dwelling, or child-occupied facility that are distinguished from each other by form, function, and location. These include but are not limited to interior components such as ceilings, crown moldings, walls, chair rails, doors, door trim, floors, fireplaces, radiators and other heating units, shelves, shelf supports, stair treads, stair risers, stair stringers, newel posts, railing caps, balustrades, windows and trim (including sashes, window heads, jambs, sills or stools and troughs), built-in cabinets, columns, beams, bathroom vanities, countertops, and air conditioners; and exterior components such as painted roofing, chimneys, flashing, gutters and downspouts, ceilings, soffits, fascias, rake boards, cornerboards, bulkheads, doors and door trim, fences, floors, joists, latticework, railings and railing caps, siding, handrails, stair risers and treads, stair stringers, columns, balustrades, windowsills or stools and troughs, casings, sashes and wells, and air conditioners. Each side of a door is considered a component within its respective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“Component type”</w:t>
      </w:r>
      <w:r>
        <w:rPr>
          <w:rFonts w:ascii="Times New Roman" w:hAnsi="Times New Roman"/>
          <w:b w:val="false"/>
          <w:i w:val="false"/>
          <w:color w:val="000000"/>
          <w:sz w:val="22"/>
        </w:rPr>
        <w:t> </w:t>
      </w:r>
      <w:r>
        <w:rPr>
          <w:rFonts w:ascii="Times New Roman" w:hAnsi="Times New Roman"/>
          <w:b w:val="false"/>
          <w:i w:val="false"/>
          <w:color w:val="000000"/>
          <w:sz w:val="22"/>
        </w:rPr>
        <w:t>means a group of like components constructed of the same substrate in the same multifamily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“Composite sample”</w:t>
      </w:r>
      <w:r>
        <w:rPr>
          <w:rFonts w:ascii="Times New Roman" w:hAnsi="Times New Roman"/>
          <w:b w:val="false"/>
          <w:i w:val="false"/>
          <w:color w:val="000000"/>
          <w:sz w:val="22"/>
        </w:rPr>
        <w:t> </w:t>
      </w:r>
      <w:r>
        <w:rPr>
          <w:rFonts w:ascii="Times New Roman" w:hAnsi="Times New Roman"/>
          <w:b w:val="false"/>
          <w:i w:val="false"/>
          <w:color w:val="000000"/>
          <w:sz w:val="22"/>
        </w:rPr>
        <w:t>means the collection of more than one sample of the same medium (e.g., dust, soil, or paint) from the same type of surface (e.g., floor, interior windowsill, or window trough) such that multiple samples can be analyzed as a single sample.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“Concentration”</w:t>
      </w:r>
      <w:r>
        <w:rPr>
          <w:rFonts w:ascii="Times New Roman" w:hAnsi="Times New Roman"/>
          <w:b w:val="false"/>
          <w:i w:val="false"/>
          <w:color w:val="000000"/>
          <w:sz w:val="22"/>
        </w:rPr>
        <w:t> </w:t>
      </w:r>
      <w:r>
        <w:rPr>
          <w:rFonts w:ascii="Times New Roman" w:hAnsi="Times New Roman"/>
          <w:b w:val="false"/>
          <w:i w:val="false"/>
          <w:color w:val="000000"/>
          <w:sz w:val="22"/>
        </w:rPr>
        <w:t>means the relative content of a specific substance contained within a larger mass, such as the amount of lead (in micrograms per grams or parts per million of weight) in a sample of soil or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“Containment”</w:t>
      </w:r>
      <w:r>
        <w:rPr>
          <w:rFonts w:ascii="Times New Roman" w:hAnsi="Times New Roman"/>
          <w:b w:val="false"/>
          <w:i w:val="false"/>
          <w:color w:val="000000"/>
          <w:sz w:val="22"/>
        </w:rPr>
        <w:t> </w:t>
      </w:r>
      <w:r>
        <w:rPr>
          <w:rFonts w:ascii="Times New Roman" w:hAnsi="Times New Roman"/>
          <w:b w:val="false"/>
          <w:i w:val="false"/>
          <w:color w:val="000000"/>
          <w:sz w:val="22"/>
        </w:rPr>
        <w:t>means a system of temporary barriers to protect workers, residents, and the environment by controlling exposures to the dust-lead hazards and debris created during renovation or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“Conviction”</w:t>
      </w:r>
      <w:r>
        <w:rPr>
          <w:rFonts w:ascii="Times New Roman" w:hAnsi="Times New Roman"/>
          <w:b w:val="false"/>
          <w:i w:val="false"/>
          <w:color w:val="000000"/>
          <w:sz w:val="22"/>
        </w:rPr>
        <w:t> </w:t>
      </w:r>
      <w:r>
        <w:rPr>
          <w:rFonts w:ascii="Times New Roman" w:hAnsi="Times New Roman"/>
          <w:b w:val="false"/>
          <w:i w:val="false"/>
          <w:color w:val="000000"/>
          <w:sz w:val="22"/>
        </w:rPr>
        <w:t>means a finding, plea, or verdict of guilt made or returned in a criminal proceeding, even if the adjudication of guilt is deferred, withheld, or not entered. “Conviction” includes Alford pleas and pleas of nolo contendere.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agenda”</w:t>
      </w:r>
      <w:r>
        <w:rPr>
          <w:rFonts w:ascii="Times New Roman" w:hAnsi="Times New Roman"/>
          <w:b w:val="false"/>
          <w:i w:val="false"/>
          <w:color w:val="000000"/>
          <w:sz w:val="22"/>
        </w:rPr>
        <w:t> </w:t>
      </w:r>
      <w:r>
        <w:rPr>
          <w:rFonts w:ascii="Times New Roman" w:hAnsi="Times New Roman"/>
          <w:b w:val="false"/>
          <w:i w:val="false"/>
          <w:color w:val="000000"/>
          <w:sz w:val="22"/>
        </w:rPr>
        <w:t>means an outline of the key topics to be covered during a training course, including the time allotted to teach each topic.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test”</w:t>
      </w:r>
      <w:r>
        <w:rPr>
          <w:rFonts w:ascii="Times New Roman" w:hAnsi="Times New Roman"/>
          <w:b w:val="false"/>
          <w:i w:val="false"/>
          <w:color w:val="000000"/>
          <w:sz w:val="22"/>
        </w:rPr>
        <w:t> </w:t>
      </w:r>
      <w:r>
        <w:rPr>
          <w:rFonts w:ascii="Times New Roman" w:hAnsi="Times New Roman"/>
          <w:b w:val="false"/>
          <w:i w:val="false"/>
          <w:color w:val="000000"/>
          <w:sz w:val="22"/>
        </w:rPr>
        <w:t>means an evaluation of the overall effectiveness of the training, which shall test the trainees’ knowledge and retention of the topics covered during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“Course test blueprint”</w:t>
      </w:r>
      <w:r>
        <w:rPr>
          <w:rFonts w:ascii="Times New Roman" w:hAnsi="Times New Roman"/>
          <w:b w:val="false"/>
          <w:i w:val="false"/>
          <w:color w:val="000000"/>
          <w:sz w:val="22"/>
        </w:rPr>
        <w:t> </w:t>
      </w:r>
      <w:r>
        <w:rPr>
          <w:rFonts w:ascii="Times New Roman" w:hAnsi="Times New Roman"/>
          <w:b w:val="false"/>
          <w:i w:val="false"/>
          <w:color w:val="000000"/>
          <w:sz w:val="22"/>
        </w:rPr>
        <w:t>means written documentation identifying the proportion of course test questions devoted to each major topic in the course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“Deteriorated paint”</w:t>
      </w:r>
      <w:r>
        <w:rPr>
          <w:rFonts w:ascii="Times New Roman" w:hAnsi="Times New Roman"/>
          <w:b w:val="false"/>
          <w:i w:val="false"/>
          <w:color w:val="000000"/>
          <w:sz w:val="22"/>
        </w:rPr>
        <w:t> </w:t>
      </w:r>
      <w:r>
        <w:rPr>
          <w:rFonts w:ascii="Times New Roman" w:hAnsi="Times New Roman"/>
          <w:b w:val="false"/>
          <w:i w:val="false"/>
          <w:color w:val="000000"/>
          <w:sz w:val="22"/>
        </w:rPr>
        <w:t>means any interior or exterior paint or other coating that is cracking, flaking, chipping, peeling, or chalking, or any paint or coating located on an interior or exterior surface that is otherwise damaged or separated from the substrate of a building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“Discipline”</w:t>
      </w:r>
      <w:r>
        <w:rPr>
          <w:rFonts w:ascii="Times New Roman" w:hAnsi="Times New Roman"/>
          <w:b w:val="false"/>
          <w:i w:val="false"/>
          <w:color w:val="000000"/>
          <w:sz w:val="22"/>
        </w:rPr>
        <w:t> </w:t>
      </w:r>
      <w:r>
        <w:rPr>
          <w:rFonts w:ascii="Times New Roman" w:hAnsi="Times New Roman"/>
          <w:b w:val="false"/>
          <w:i w:val="false"/>
          <w:color w:val="000000"/>
          <w:sz w:val="22"/>
        </w:rPr>
        <w:t>means one of the specific types or categories of lead-based paint activities identified in this chapter for which individuals may receive training from approved courses and become certified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“Disqualifying offense”</w:t>
      </w:r>
      <w:r>
        <w:rPr>
          <w:rFonts w:ascii="Times New Roman" w:hAnsi="Times New Roman"/>
          <w:b w:val="false"/>
          <w:i w:val="false"/>
          <w:color w:val="000000"/>
          <w:sz w:val="22"/>
        </w:rPr>
        <w:t> </w:t>
      </w:r>
      <w:r>
        <w:rPr>
          <w:rFonts w:ascii="Times New Roman" w:hAnsi="Times New Roman"/>
          <w:b w:val="false"/>
          <w:i w:val="false"/>
          <w:color w:val="000000"/>
          <w:sz w:val="22"/>
        </w:rPr>
        <w:t>means a conviction directly related to the duties and responsibilities of the profession. A conviction is directly related to the duties and responsibilities of the profession if either (1) the actions taken in furtherance of an offense are actions customarily performed within the scope of practice of a certified profession, or (2) the circumstances under which an offense was committed are circumstances customary to a certified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“Distinct painting history”</w:t>
      </w:r>
      <w:r>
        <w:rPr>
          <w:rFonts w:ascii="Times New Roman" w:hAnsi="Times New Roman"/>
          <w:b w:val="false"/>
          <w:i w:val="false"/>
          <w:color w:val="000000"/>
          <w:sz w:val="22"/>
        </w:rPr>
        <w:t> </w:t>
      </w:r>
      <w:r>
        <w:rPr>
          <w:rFonts w:ascii="Times New Roman" w:hAnsi="Times New Roman"/>
          <w:b w:val="false"/>
          <w:i w:val="false"/>
          <w:color w:val="000000"/>
          <w:sz w:val="22"/>
        </w:rPr>
        <w:t>means the application history, as indicated by its visual appearance or a record of application, over time, of paint or other surface coatings to a component or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“Documented methodologies”</w:t>
      </w:r>
      <w:r>
        <w:rPr>
          <w:rFonts w:ascii="Times New Roman" w:hAnsi="Times New Roman"/>
          <w:b w:val="false"/>
          <w:i w:val="false"/>
          <w:color w:val="000000"/>
          <w:sz w:val="22"/>
        </w:rPr>
        <w:t> </w:t>
      </w:r>
      <w:r>
        <w:rPr>
          <w:rFonts w:ascii="Times New Roman" w:hAnsi="Times New Roman"/>
          <w:b w:val="false"/>
          <w:i w:val="false"/>
          <w:color w:val="000000"/>
          <w:sz w:val="22"/>
        </w:rPr>
        <w:t>means methods or protocols used to sample for the presence of lead in paint, dust, and soil.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“Dripline”</w:t>
      </w:r>
      <w:r>
        <w:rPr>
          <w:rFonts w:ascii="Times New Roman" w:hAnsi="Times New Roman"/>
          <w:b w:val="false"/>
          <w:i w:val="false"/>
          <w:color w:val="000000"/>
          <w:sz w:val="22"/>
        </w:rPr>
        <w:t> </w:t>
      </w:r>
      <w:r>
        <w:rPr>
          <w:rFonts w:ascii="Times New Roman" w:hAnsi="Times New Roman"/>
          <w:b w:val="false"/>
          <w:i w:val="false"/>
          <w:color w:val="000000"/>
          <w:sz w:val="22"/>
        </w:rPr>
        <w:t>means the area within three feet surrounding the perimeter of a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“Dry disposable cleaning cloth”</w:t>
      </w:r>
      <w:r>
        <w:rPr>
          <w:rFonts w:ascii="Times New Roman" w:hAnsi="Times New Roman"/>
          <w:b w:val="false"/>
          <w:i w:val="false"/>
          <w:color w:val="000000"/>
          <w:sz w:val="22"/>
        </w:rPr>
        <w:t> </w:t>
      </w:r>
      <w:r>
        <w:rPr>
          <w:rFonts w:ascii="Times New Roman" w:hAnsi="Times New Roman"/>
          <w:b w:val="false"/>
          <w:i w:val="false"/>
          <w:color w:val="000000"/>
          <w:sz w:val="22"/>
        </w:rPr>
        <w:t>means a commercially available dry, electrostatically charged, white disposable cloth designed to be used for cleaning hard surfaces such as uncarpeted floors or countertops.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“Dry sanding”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sanding a surface that is partially coated with paint or other surface coating without moisture and includes hand and mechanical methods of sanding.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“Dry scraping”</w:t>
      </w:r>
      <w:r>
        <w:rPr>
          <w:rFonts w:ascii="Times New Roman" w:hAnsi="Times New Roman"/>
          <w:b w:val="false"/>
          <w:i w:val="false"/>
          <w:color w:val="000000"/>
          <w:sz w:val="22"/>
        </w:rPr>
        <w:t> </w:t>
      </w:r>
      <w:r>
        <w:rPr>
          <w:rFonts w:ascii="Times New Roman" w:hAnsi="Times New Roman"/>
          <w:b w:val="false"/>
          <w:i w:val="false"/>
          <w:color w:val="000000"/>
          <w:sz w:val="22"/>
        </w:rPr>
        <w:t>means scraping a surface that is partially coated with paint or other surface coating without moisture and includes hand and mechanical methods of scraping.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“Dust-lead hazard”</w:t>
      </w:r>
      <w:r>
        <w:rPr>
          <w:rFonts w:ascii="Times New Roman" w:hAnsi="Times New Roman"/>
          <w:b w:val="false"/>
          <w:i w:val="false"/>
          <w:color w:val="000000"/>
          <w:sz w:val="22"/>
        </w:rPr>
        <w:t> </w:t>
      </w:r>
      <w:r>
        <w:rPr>
          <w:rFonts w:ascii="Times New Roman" w:hAnsi="Times New Roman"/>
          <w:b w:val="false"/>
          <w:i w:val="false"/>
          <w:color w:val="000000"/>
          <w:sz w:val="22"/>
        </w:rPr>
        <w:t>means surface dust in residential dwellings or child-occupied facilities that contains a mass-per-area concentration of lead greater than or equal to 5 micrograms per square foot on floors, 40 micrograms per square foot on interior windowsills, and 100 micrograms per square foot on window troughs based on wipe samples. A dust-lead hazard is present in a residential dwelling or child-occupied facility when the weighted arithmetic mean lead loading for all single-surface or composite samples of floors and interior windowsills is greater than or equal to 5 micrograms per square foot on floors, 40 micrograms per square foot on interior windowsills, and 100 micrograms per square foot on window troughs based on wipe samples. A dust-lead hazard is present on floors, interior windowsills, or window troughs in an unsampled residential dwelling in a multifamily dwelling if a dust-lead hazard is present on floors, interior windowsills, or window troughs, respectively, in at least one sampled residential unit on the property. A dust-lead hazard is present on floors, interior windowsills, or window troughs in an unsampled common area in a multifamily dwelling if a dust-lead hazard is present on floors, interior windowsills, or window troughs, respectively, in at least one sampled common area in the same common area group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“Elevated blood lead (EBL) child”</w:t>
      </w:r>
      <w:r>
        <w:rPr>
          <w:rFonts w:ascii="Times New Roman" w:hAnsi="Times New Roman"/>
          <w:b w:val="false"/>
          <w:i w:val="false"/>
          <w:color w:val="000000"/>
          <w:sz w:val="22"/>
        </w:rPr>
        <w:t> </w:t>
      </w:r>
      <w:r>
        <w:rPr>
          <w:rFonts w:ascii="Times New Roman" w:hAnsi="Times New Roman"/>
          <w:b w:val="false"/>
          <w:i w:val="false"/>
          <w:color w:val="000000"/>
          <w:sz w:val="22"/>
        </w:rPr>
        <w:t>means any child who has had one venous blood lead level greater than or equal to 20 micrograms per deciliter or at least two venous blood lead levels of 15 to 19 micrograms per deciliter.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“Elevated blood lead (EBL) inspection”</w:t>
      </w:r>
      <w:r>
        <w:rPr>
          <w:rFonts w:ascii="Times New Roman" w:hAnsi="Times New Roman"/>
          <w:b w:val="false"/>
          <w:i w:val="false"/>
          <w:color w:val="000000"/>
          <w:sz w:val="22"/>
        </w:rPr>
        <w:t> </w:t>
      </w:r>
      <w:r>
        <w:rPr>
          <w:rFonts w:ascii="Times New Roman" w:hAnsi="Times New Roman"/>
          <w:b w:val="false"/>
          <w:i w:val="false"/>
          <w:color w:val="000000"/>
          <w:sz w:val="22"/>
        </w:rPr>
        <w:t>means an inspection to determine the sources of lead exposure for an elevated blood lead (EBL) child and the provision within ten working days of a written report explaining the results of the investigation to the property owner and occupant of the residential dwelling or child-occupied facility being inspected and to the parents of the elevated blood lead (EBL) child. A certified elevated blood lead (EBL) inspector/risk assessor shall not determine that a residential dwelling is free of lead-based paint as a result of an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“Emergency renovation”</w:t>
      </w:r>
      <w:r>
        <w:rPr>
          <w:rFonts w:ascii="Times New Roman" w:hAnsi="Times New Roman"/>
          <w:b w:val="false"/>
          <w:i w:val="false"/>
          <w:color w:val="000000"/>
          <w:sz w:val="22"/>
        </w:rPr>
        <w:t> </w:t>
      </w:r>
      <w:r>
        <w:rPr>
          <w:rFonts w:ascii="Times New Roman" w:hAnsi="Times New Roman"/>
          <w:b w:val="false"/>
          <w:i w:val="false"/>
          <w:color w:val="000000"/>
          <w:sz w:val="22"/>
        </w:rPr>
        <w:t>means renovation, remodeling, or repainting activities necessitated by nonroutine failures of equipment or of a structure that were not planned but resulted from a sudden, unexpected event that, if not immediately attended to, presents a safety or public health hazard or threatens equipment or property with significant damage. “Emergency renovation” includes interim controls, renovation, remodeling, or repainting activities that are conducted in response to an elevated blood lead (EBL)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“Encapsulant”</w:t>
      </w:r>
      <w:r>
        <w:rPr>
          <w:rFonts w:ascii="Times New Roman" w:hAnsi="Times New Roman"/>
          <w:b w:val="false"/>
          <w:i w:val="false"/>
          <w:color w:val="000000"/>
          <w:sz w:val="22"/>
        </w:rPr>
        <w:t> </w:t>
      </w:r>
      <w:r>
        <w:rPr>
          <w:rFonts w:ascii="Times New Roman" w:hAnsi="Times New Roman"/>
          <w:b w:val="false"/>
          <w:i w:val="false"/>
          <w:color w:val="000000"/>
          <w:sz w:val="22"/>
        </w:rPr>
        <w:t>means a substance that forms a barrier between lead-based paint and the environment using a liquid-applied coating (with or without reinforcement materials) or an adhesively bonded coating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“Encapsulation”</w:t>
      </w:r>
      <w:r>
        <w:rPr>
          <w:rFonts w:ascii="Times New Roman" w:hAnsi="Times New Roman"/>
          <w:b w:val="false"/>
          <w:i w:val="false"/>
          <w:color w:val="000000"/>
          <w:sz w:val="22"/>
        </w:rPr>
        <w:t> </w:t>
      </w:r>
      <w:r>
        <w:rPr>
          <w:rFonts w:ascii="Times New Roman" w:hAnsi="Times New Roman"/>
          <w:b w:val="false"/>
          <w:i w:val="false"/>
          <w:color w:val="000000"/>
          <w:sz w:val="22"/>
        </w:rPr>
        <w:t>means the application of an encapsulant.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“Enclosure”</w:t>
      </w:r>
      <w:r>
        <w:rPr>
          <w:rFonts w:ascii="Times New Roman" w:hAnsi="Times New Roman"/>
          <w:b w:val="false"/>
          <w:i w:val="false"/>
          <w:color w:val="000000"/>
          <w:sz w:val="22"/>
        </w:rPr>
        <w:t> </w:t>
      </w:r>
      <w:r>
        <w:rPr>
          <w:rFonts w:ascii="Times New Roman" w:hAnsi="Times New Roman"/>
          <w:b w:val="false"/>
          <w:i w:val="false"/>
          <w:color w:val="000000"/>
          <w:sz w:val="22"/>
        </w:rPr>
        <w:t>means the use of rigid, durable construction materials that are mechanically fastened to the substrate in order to act as a barrier between lead-based paint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“Firm”</w:t>
      </w:r>
      <w:r>
        <w:rPr>
          <w:rFonts w:ascii="Times New Roman" w:hAnsi="Times New Roman"/>
          <w:b w:val="false"/>
          <w:i w:val="false"/>
          <w:color w:val="000000"/>
          <w:sz w:val="22"/>
        </w:rPr>
        <w:t> </w:t>
      </w:r>
      <w:r>
        <w:rPr>
          <w:rFonts w:ascii="Times New Roman" w:hAnsi="Times New Roman"/>
          <w:b w:val="false"/>
          <w:i w:val="false"/>
          <w:color w:val="000000"/>
          <w:sz w:val="22"/>
        </w:rPr>
        <w:t>means a company, partnership, corporation, sole proprietorship, individual doing business, association, or other business entity; a federal, state, tribal, or local government agency; or a nonprofit organization that performs or offers to perform lead-based paint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“Friction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that is subject to abrasion or friction including but not limited to certain window, floor, and stair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“Guest instructor”</w:t>
      </w:r>
      <w:r>
        <w:rPr>
          <w:rFonts w:ascii="Times New Roman" w:hAnsi="Times New Roman"/>
          <w:b w:val="false"/>
          <w:i w:val="false"/>
          <w:color w:val="000000"/>
          <w:sz w:val="22"/>
        </w:rPr>
        <w:t> </w:t>
      </w:r>
      <w:r>
        <w:rPr>
          <w:rFonts w:ascii="Times New Roman" w:hAnsi="Times New Roman"/>
          <w:b w:val="false"/>
          <w:i w:val="false"/>
          <w:color w:val="000000"/>
          <w:sz w:val="22"/>
        </w:rPr>
        <w:t>means an individual designated by the training program manager or principal instructor to provide instruction specific to the lecture, hands-on work activities, or work practice components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“Hands-on skills assessment”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evaluation that tests the trainees’ ability to satisfactorily perform the work practices and procedures identified in rule </w:t>
      </w:r>
      <w:hyperlink r:id="rId13">
        <w:r>
          <w:rPr>
            <w:rStyle w:val="Hyperlink"/>
            <w:rFonts w:ascii="Times New Roman" w:hAnsi="Times New Roman"/>
            <w:b w:val="false"/>
            <w:i w:val="false"/>
            <w:color w:val="000000"/>
            <w:sz w:val="22"/>
          </w:rPr>
          <w:t>481—470.6</w:t>
        </w:r>
      </w:hyperlink>
      <w:r>
        <w:rPr>
          <w:rFonts w:ascii="Times New Roman" w:hAnsi="Times New Roman"/>
          <w:b w:val="false"/>
          <w:i w:val="false"/>
          <w:color w:val="000000"/>
          <w:sz w:val="22"/>
        </w:rPr>
        <w:t>(10A), as well as any other skill taught in a training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lead-based paint”</w:t>
      </w:r>
      <w:r>
        <w:rPr>
          <w:rFonts w:ascii="Times New Roman" w:hAnsi="Times New Roman"/>
          <w:b w:val="false"/>
          <w:i w:val="false"/>
          <w:color w:val="000000"/>
          <w:sz w:val="22"/>
        </w:rPr>
        <w:t> </w:t>
      </w:r>
      <w:r>
        <w:rPr>
          <w:rFonts w:ascii="Times New Roman" w:hAnsi="Times New Roman"/>
          <w:b w:val="false"/>
          <w:i w:val="false"/>
          <w:color w:val="000000"/>
          <w:sz w:val="22"/>
        </w:rPr>
        <w:t>means lead-based paint that is present on a friction surface where there is evidence of abrasion or where the dust-lead level on the nearest horizontal surface underneath the friction surface (e.g., the windowsill or floor) is greater than or equal to the dust-lead hazard level, lead-based paint that is present on an impact surface that is damaged or otherwise deteriorated from impact, lead-based paint that is present on a chewable surface, or any other deteriorated lead-based paint in any residential building or child-occupied facility or on the exterior of any residential building or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waste”</w:t>
      </w:r>
      <w:r>
        <w:rPr>
          <w:rFonts w:ascii="Times New Roman" w:hAnsi="Times New Roman"/>
          <w:b w:val="false"/>
          <w:i w:val="false"/>
          <w:color w:val="000000"/>
          <w:sz w:val="22"/>
        </w:rPr>
        <w:t> </w:t>
      </w:r>
      <w:r>
        <w:rPr>
          <w:rFonts w:ascii="Times New Roman" w:hAnsi="Times New Roman"/>
          <w:b w:val="false"/>
          <w:i w:val="false"/>
          <w:color w:val="000000"/>
          <w:sz w:val="22"/>
        </w:rPr>
        <w:t>means any waste as defined in 40 CFR 261.3.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“HEPA exhaust control”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HEPA vacuum attached to the machine in such a manner that it captures the air, dust, and debris disturbed by the machine.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“HEPA vacuum”</w:t>
      </w:r>
      <w:r>
        <w:rPr>
          <w:rFonts w:ascii="Times New Roman" w:hAnsi="Times New Roman"/>
          <w:b w:val="false"/>
          <w:i w:val="false"/>
          <w:color w:val="000000"/>
          <w:sz w:val="22"/>
        </w:rPr>
        <w:t> </w:t>
      </w:r>
      <w:r>
        <w:rPr>
          <w:rFonts w:ascii="Times New Roman" w:hAnsi="Times New Roman"/>
          <w:b w:val="false"/>
          <w:i w:val="false"/>
          <w:color w:val="000000"/>
          <w:sz w:val="22"/>
        </w:rPr>
        <w:t>means a vacuum cleaner that has been designed, operated, and maintained with a high-efficiency particulate air (HEPA) filter as the last filtration stage. A HEPA filter is a filter that is capable of capturing particles of 0.3 microns with 99.97 percent efficiency. The vacuum cleaner must be designed, operated, and maintained so that all of the air drawn into the machine is expelled through the HEPA filter with none of the air leaking past it. HEPA vacuums must be operated and maintained in accordance with the manufacturer’s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“Housing for the elderly”</w:t>
      </w:r>
      <w:r>
        <w:rPr>
          <w:rFonts w:ascii="Times New Roman" w:hAnsi="Times New Roman"/>
          <w:b w:val="false"/>
          <w:i w:val="false"/>
          <w:color w:val="000000"/>
          <w:sz w:val="22"/>
        </w:rPr>
        <w:t> </w:t>
      </w:r>
      <w:r>
        <w:rPr>
          <w:rFonts w:ascii="Times New Roman" w:hAnsi="Times New Roman"/>
          <w:b w:val="false"/>
          <w:i w:val="false"/>
          <w:color w:val="000000"/>
          <w:sz w:val="22"/>
        </w:rPr>
        <w:t>means retirement communities or similar types of housing reserved for households composed of one or more persons 62 years of age or older or an age recognized as elderly by a specific federal housing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family”</w:t>
      </w:r>
      <w:r>
        <w:rPr>
          <w:rFonts w:ascii="Times New Roman" w:hAnsi="Times New Roman"/>
          <w:b w:val="false"/>
          <w:i w:val="false"/>
          <w:color w:val="000000"/>
          <w:sz w:val="22"/>
        </w:rPr>
        <w:t> </w:t>
      </w:r>
      <w:r>
        <w:rPr>
          <w:rFonts w:ascii="Times New Roman" w:hAnsi="Times New Roman"/>
          <w:b w:val="false"/>
          <w:i w:val="false"/>
          <w:color w:val="000000"/>
          <w:sz w:val="22"/>
        </w:rPr>
        <w:t>means spouse, parents and grandparents, children and grandchildren, brothers and sisters, mother-in-law and father-in-law, brothers-in-law and sisters-in-law, daughters-in-law and sons-in-law, and adopted and step family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“Impact surface”</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surface that is subject to damage by repeated sudden force such as certain parts of door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“Inconclusive classification”</w:t>
      </w:r>
      <w:r>
        <w:rPr>
          <w:rFonts w:ascii="Times New Roman" w:hAnsi="Times New Roman"/>
          <w:b w:val="false"/>
          <w:i w:val="false"/>
          <w:color w:val="000000"/>
          <w:sz w:val="22"/>
        </w:rPr>
        <w:t> </w:t>
      </w:r>
      <w:r>
        <w:rPr>
          <w:rFonts w:ascii="Times New Roman" w:hAnsi="Times New Roman"/>
          <w:b w:val="false"/>
          <w:i w:val="false"/>
          <w:color w:val="000000"/>
          <w:sz w:val="22"/>
        </w:rPr>
        <w:t>means any XRF reading falling within the inconclusive range on the performance characteristic sheet, including the boundary values defining the range.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“Interim controls”</w:t>
      </w:r>
      <w:r>
        <w:rPr>
          <w:rFonts w:ascii="Times New Roman" w:hAnsi="Times New Roman"/>
          <w:b w:val="false"/>
          <w:i w:val="false"/>
          <w:color w:val="000000"/>
          <w:sz w:val="22"/>
        </w:rPr>
        <w:t> </w:t>
      </w:r>
      <w:r>
        <w:rPr>
          <w:rFonts w:ascii="Times New Roman" w:hAnsi="Times New Roman"/>
          <w:b w:val="false"/>
          <w:i w:val="false"/>
          <w:color w:val="000000"/>
          <w:sz w:val="22"/>
        </w:rPr>
        <w:t>means a set of measures designed to temporarily reduce human exposure or likely exposure to lead-based paint hazards, including repairing deteriorated lead-based paint, specialized cleaning, maintenance, painting, temporary containment, ongoing monitoring of lead-based paint hazards or potential hazards, and the establishment and operation of management and resident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“Interior windowsill”</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horizontal window ledge that protrudes into the interior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 abatement”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measure or set of measures designed to permanently eliminate lead-based paint hazards in a residential dwelling or child-occupied facility. Lead abatement includes, but is not limited to, (1) the removal of lead-based paint and dust-lead hazards, the permanent enclosure or encapsulation of lead-based paint, the replacement of lead-painted surfaces or fixtures, and the removal or covering of soil-lead hazards and (2) all preparation, cleanup, disposal, repainting or refinishing, and postabatement clearance testing activities associated with such measures. “Lead abatement” specifically includes projects for which there is a written contract or other documentation, which provides that an individual will be conducting lead abatement in or around a residential dwelling or child-occupied facility. </w:t>
      </w:r>
    </w:p>
    <w:p>
      <w:pPr>
        <w:spacing w:before="0" w:after="0"/>
        <w:ind w:left="120"/>
        <w:jc w:val="both"/>
      </w:pPr>
      <w:r>
        <w:rPr>
          <w:rFonts w:ascii="Times New Roman" w:hAnsi="Times New Roman"/>
          <w:b w:val="false"/>
          <w:i w:val="false"/>
          <w:color w:val="000000"/>
          <w:sz w:val="22"/>
        </w:rPr>
        <w:t xml:space="preserve">“Lead abatement” also includes but is not limited to (1) projects for which there is a written contract or other document, which provides that an individual will be conducting activities in or to a residential dwelling or child-occupied facility that shall result in or are designed to permanently eliminate lead-based paint hazards, (2) projects resulting in the permanent elimination of lead-based paint hazards that are conducted by firms or individuals certified under rule </w:t>
      </w:r>
      <w:hyperlink r:id="rId14">
        <w:r>
          <w:rPr>
            <w:rStyle w:val="Hyperlink"/>
            <w:rFonts w:ascii="Times New Roman" w:hAnsi="Times New Roman"/>
            <w:b w:val="false"/>
            <w:i w:val="false"/>
            <w:color w:val="000000"/>
            <w:sz w:val="22"/>
          </w:rPr>
          <w:t>481—470.5</w:t>
        </w:r>
      </w:hyperlink>
      <w:r>
        <w:rPr>
          <w:rFonts w:ascii="Times New Roman" w:hAnsi="Times New Roman"/>
          <w:b w:val="false"/>
          <w:i w:val="false"/>
          <w:color w:val="000000"/>
          <w:sz w:val="22"/>
        </w:rPr>
        <w:t>(10A), (3) projects resulting in the permanent elimination of lead-based paint hazards that are conducted by firms or individuals who, through their company name or promotional literature, represent, advertise, or hold themselves out to be in the business of performing lead abatement, and (4) projects resulting in the permanent elimination of lead-based paint that are conducted in response to a lead abatement order. However, in the case of items (1) through (4) of this definition, “lead abatement” does not include renovation, remodeling, landscaping, or other activities, when such activities are not designed to permanently eliminate lead-based paint hazards, but, instead, are designed to repair, restore, or remodel a given structure or dwelling, even though these activities may incidentally result in a reduction or elimination of lead-based paint hazards. Furthermore, “lead abatement” does not include interim controls, operations and maintenance activities, renovation, or other measures and activities designed to temporarily, but not permanently, reduce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w:t>
      </w:r>
      <w:r>
        <w:rPr>
          <w:rFonts w:ascii="Times New Roman" w:hAnsi="Times New Roman"/>
          <w:b w:val="false"/>
          <w:i w:val="false"/>
          <w:color w:val="000000"/>
          <w:sz w:val="22"/>
        </w:rPr>
        <w:t> </w:t>
      </w:r>
      <w:r>
        <w:rPr>
          <w:rFonts w:ascii="Times New Roman" w:hAnsi="Times New Roman"/>
          <w:b w:val="false"/>
          <w:i w:val="false"/>
          <w:color w:val="000000"/>
          <w:sz w:val="22"/>
        </w:rPr>
        <w:t>means paint or other surface coatings that contain lead greater than or equal to 1.0 milligram per square centimeter or greater than 0.5 percent by weight. Lead-based paint is present on any surface that is tested and found to contain lead greater than or equal to 1.0 milligram per square centimeter or greater than 0.5 percent by weight and on any surface like a surface tested in the same room equivalent that has a similar painting history and that is found to be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 activities”</w:t>
      </w:r>
      <w:r>
        <w:rPr>
          <w:rFonts w:ascii="Times New Roman" w:hAnsi="Times New Roman"/>
          <w:b w:val="false"/>
          <w:i w:val="false"/>
          <w:color w:val="000000"/>
          <w:sz w:val="22"/>
        </w:rPr>
        <w:t> </w:t>
      </w:r>
      <w:r>
        <w:rPr>
          <w:rFonts w:ascii="Times New Roman" w:hAnsi="Times New Roman"/>
          <w:b w:val="false"/>
          <w:i w:val="false"/>
          <w:color w:val="000000"/>
          <w:sz w:val="22"/>
        </w:rPr>
        <w:t>means, in the case of target housing and child-occupied facilities, lead-free inspection, lead inspection, elevated blood lead (EBL) inspection, lead hazard screen, risk assessment, lead abatement, visual risk assessment, clearance testing conducted after lead abatement, clearance testing conducted after renovation, clearance testing conducted after interim controls, paint stabilization, standard treatments, ongoing lead-based paint maintenance, or rehabilitation pursuant to 24 CFR Part 35, and renovation.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 hazard”</w:t>
      </w:r>
      <w:r>
        <w:rPr>
          <w:rFonts w:ascii="Times New Roman" w:hAnsi="Times New Roman"/>
          <w:b w:val="false"/>
          <w:i w:val="false"/>
          <w:color w:val="000000"/>
          <w:sz w:val="22"/>
        </w:rPr>
        <w:t> </w:t>
      </w:r>
      <w:r>
        <w:rPr>
          <w:rFonts w:ascii="Times New Roman" w:hAnsi="Times New Roman"/>
          <w:b w:val="false"/>
          <w:i w:val="false"/>
          <w:color w:val="000000"/>
          <w:sz w:val="22"/>
        </w:rPr>
        <w:t>means hazardous lead-based paint, a dust-lead hazard, or a soil-lead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“Lead-based paint hazard reduction activity”</w:t>
      </w:r>
      <w:r>
        <w:rPr>
          <w:rFonts w:ascii="Times New Roman" w:hAnsi="Times New Roman"/>
          <w:b w:val="false"/>
          <w:i w:val="false"/>
          <w:color w:val="000000"/>
          <w:sz w:val="22"/>
        </w:rPr>
        <w:t> </w:t>
      </w:r>
      <w:r>
        <w:rPr>
          <w:rFonts w:ascii="Times New Roman" w:hAnsi="Times New Roman"/>
          <w:b w:val="false"/>
          <w:i w:val="false"/>
          <w:color w:val="000000"/>
          <w:sz w:val="22"/>
        </w:rPr>
        <w:t>means an activity that permanently or temporarily reduces or eliminates lead-based paint hazards. “Lead-based paint hazard reduction activity” includes lead abatement, renovation, or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“Lead-free inspection”</w:t>
      </w:r>
      <w:r>
        <w:rPr>
          <w:rFonts w:ascii="Times New Roman" w:hAnsi="Times New Roman"/>
          <w:b w:val="false"/>
          <w:i w:val="false"/>
          <w:color w:val="000000"/>
          <w:sz w:val="22"/>
        </w:rPr>
        <w:t> </w:t>
      </w:r>
      <w:r>
        <w:rPr>
          <w:rFonts w:ascii="Times New Roman" w:hAnsi="Times New Roman"/>
          <w:b w:val="false"/>
          <w:i w:val="false"/>
          <w:color w:val="000000"/>
          <w:sz w:val="22"/>
        </w:rPr>
        <w:t>means an inspection to determine whether a single dwelling unit or multifamily housing is free of lead-based paint and qualifies for the exemption in 24 CFR Part 35 and 40 CFR Part 745 for target housing being leased that is free of lead-based paint and the provision of a written report explaining the results of the lead-free inspection and options for reducing lead-based paint hazards to the property owner and to the person requesting the lead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 hazard screen”</w:t>
      </w:r>
      <w:r>
        <w:rPr>
          <w:rFonts w:ascii="Times New Roman" w:hAnsi="Times New Roman"/>
          <w:b w:val="false"/>
          <w:i w:val="false"/>
          <w:color w:val="000000"/>
          <w:sz w:val="22"/>
        </w:rPr>
        <w:t> </w:t>
      </w:r>
      <w:r>
        <w:rPr>
          <w:rFonts w:ascii="Times New Roman" w:hAnsi="Times New Roman"/>
          <w:b w:val="false"/>
          <w:i w:val="false"/>
          <w:color w:val="000000"/>
          <w:sz w:val="22"/>
        </w:rPr>
        <w:t>means a limited risk assessment activity that involves limited paint and dust sampling and the provision of a written report explaining the results of the lead hazard screen to the property owner and to the person requesting the lead hazard screen.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 inspection”</w:t>
      </w:r>
      <w:r>
        <w:rPr>
          <w:rFonts w:ascii="Times New Roman" w:hAnsi="Times New Roman"/>
          <w:b w:val="false"/>
          <w:i w:val="false"/>
          <w:color w:val="000000"/>
          <w:sz w:val="22"/>
        </w:rPr>
        <w:t> </w:t>
      </w:r>
      <w:r>
        <w:rPr>
          <w:rFonts w:ascii="Times New Roman" w:hAnsi="Times New Roman"/>
          <w:b w:val="false"/>
          <w:i w:val="false"/>
          <w:color w:val="000000"/>
          <w:sz w:val="22"/>
        </w:rPr>
        <w:t>means a surface-by-surface investigation to determine the presence of lead-based paint and a determination of the existence, nature, severity, and location of lead-based paint hazards in a residential dwelling or child-occupied facility and the provision of a written report explaining the results of the investigation and options for reducing lead-based paint hazards to the property owner and to the person requesting the lead inspection. A certified lead inspector/risk assessor or certified elevated blood lead (EBL) inspector/risk assessor shall not determine that a residential dwelling is free of lead-based paint as a result of a lead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 professional”</w:t>
      </w:r>
      <w:r>
        <w:rPr>
          <w:rFonts w:ascii="Times New Roman" w:hAnsi="Times New Roman"/>
          <w:b w:val="false"/>
          <w:i w:val="false"/>
          <w:color w:val="000000"/>
          <w:sz w:val="22"/>
        </w:rPr>
        <w:t> </w:t>
      </w:r>
      <w:r>
        <w:rPr>
          <w:rFonts w:ascii="Times New Roman" w:hAnsi="Times New Roman"/>
          <w:b w:val="false"/>
          <w:i w:val="false"/>
          <w:color w:val="000000"/>
          <w:sz w:val="22"/>
        </w:rPr>
        <w:t>means a person who conducts lead abatement, renovation, lead inspections, elevated blood lead (EBL) inspections, lead hazard screens, risk assessments, visual risk assessments, clearance testing after lead abatement, clearance testing after renovation, paint testing, or clearance testing after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“Lead-safe renovator 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an eight-hour training program that provides training on how to work safely with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“Lead-safe work practices”</w:t>
      </w:r>
      <w:r>
        <w:rPr>
          <w:rFonts w:ascii="Times New Roman" w:hAnsi="Times New Roman"/>
          <w:b w:val="false"/>
          <w:i w:val="false"/>
          <w:color w:val="000000"/>
          <w:sz w:val="22"/>
        </w:rPr>
        <w:t> </w:t>
      </w:r>
      <w:r>
        <w:rPr>
          <w:rFonts w:ascii="Times New Roman" w:hAnsi="Times New Roman"/>
          <w:b w:val="false"/>
          <w:i w:val="false"/>
          <w:color w:val="000000"/>
          <w:sz w:val="22"/>
        </w:rPr>
        <w:t>means methods that are used to minimize hazards when conducting renovation or interim controls, paint stabilization, standard treatments, ongoing lead-based paint maintenance, or rehabilitation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“Living area”</w:t>
      </w:r>
      <w:r>
        <w:rPr>
          <w:rFonts w:ascii="Times New Roman" w:hAnsi="Times New Roman"/>
          <w:b w:val="false"/>
          <w:i w:val="false"/>
          <w:color w:val="000000"/>
          <w:sz w:val="22"/>
        </w:rPr>
        <w:t> </w:t>
      </w:r>
      <w:r>
        <w:rPr>
          <w:rFonts w:ascii="Times New Roman" w:hAnsi="Times New Roman"/>
          <w:b w:val="false"/>
          <w:i w:val="false"/>
          <w:color w:val="000000"/>
          <w:sz w:val="22"/>
        </w:rPr>
        <w:t>means any area of a residential dwelling used by at least one child under the age of six years, including but not limited to living rooms, kitchen areas, dens, playrooms, and children’s 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“Loading”</w:t>
      </w:r>
      <w:r>
        <w:rPr>
          <w:rFonts w:ascii="Times New Roman" w:hAnsi="Times New Roman"/>
          <w:b w:val="false"/>
          <w:i w:val="false"/>
          <w:color w:val="000000"/>
          <w:sz w:val="22"/>
        </w:rPr>
        <w:t> </w:t>
      </w:r>
      <w:r>
        <w:rPr>
          <w:rFonts w:ascii="Times New Roman" w:hAnsi="Times New Roman"/>
          <w:b w:val="false"/>
          <w:i w:val="false"/>
          <w:color w:val="000000"/>
          <w:sz w:val="22"/>
        </w:rPr>
        <w:t>means the quantity of a specific substance present per unit of surface area, such as the amount of lead in micrograms contained in the dust collected from a certain surface area divided by the surface area in square feet or square 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“Mid-yard”</w:t>
      </w:r>
      <w:r>
        <w:rPr>
          <w:rFonts w:ascii="Times New Roman" w:hAnsi="Times New Roman"/>
          <w:b w:val="false"/>
          <w:i w:val="false"/>
          <w:color w:val="000000"/>
          <w:sz w:val="22"/>
        </w:rPr>
        <w:t> </w:t>
      </w:r>
      <w:r>
        <w:rPr>
          <w:rFonts w:ascii="Times New Roman" w:hAnsi="Times New Roman"/>
          <w:b w:val="false"/>
          <w:i w:val="false"/>
          <w:color w:val="000000"/>
          <w:sz w:val="22"/>
        </w:rPr>
        <w:t>means an area of a residential yard approximately midway between the dripline of a residential building and the nearest property boundary or between the driplines of a residential building and another building on the same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“Minor repair and maintenance activities”</w:t>
      </w:r>
      <w:r>
        <w:rPr>
          <w:rFonts w:ascii="Times New Roman" w:hAnsi="Times New Roman"/>
          <w:b w:val="false"/>
          <w:i w:val="false"/>
          <w:color w:val="000000"/>
          <w:sz w:val="22"/>
        </w:rPr>
        <w:t> </w:t>
      </w:r>
      <w:r>
        <w:rPr>
          <w:rFonts w:ascii="Times New Roman" w:hAnsi="Times New Roman"/>
          <w:b w:val="false"/>
          <w:i w:val="false"/>
          <w:color w:val="000000"/>
          <w:sz w:val="22"/>
        </w:rPr>
        <w:t>means activities, including minor heating, ventilation or air-conditioning work, electrical work, and plumbing, that disrupt less than the minimum areas of a painted surface established in this definition where none of the work practices prohibited or restricted by this chapter are used and where the work does not involve window replacement or demolition of painted surface areas. When painted components or portions of painted components are removed, the entire surface area removed is the amount of painted surface disturbed. Projects, other than emergency renovation, performed in the same room within the same 30 days will be considered the same project for the purpose of determining whether the project is a minor repair and maintenance activity. Renovations performed in response to an elevated blood lead (EBL) inspection are not considered minor repair and maintenance activities. The minimum area for minor repair and maintenance activities is: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Less than 1.0 square foot of an interior painted or finished wood surface per renovation;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Less than 6.0 square feet of a painted or finished drywall or plaster surface per room;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Less than 20.0 square feet of an exterior painted or finished surface per renovation.</w:t>
      </w:r>
    </w:p>
    <w:p>
      <w:pPr>
        <w:spacing w:before="0" w:after="0"/>
        <w:ind w:left="120"/>
        <w:jc w:val="left"/>
      </w:pPr>
      <w:r>
        <w:rPr>
          <w:rFonts w:ascii="Times New Roman" w:hAnsi="Times New Roman"/>
          <w:b w:val="false"/>
          <w:i w:val="false"/>
          <w:color w:val="000000"/>
          <w:sz w:val="22"/>
        </w:rPr>
        <w:t>Projects performed pursuant to 24 CFR Part 35 shall comply with the de minimis levels in 24 CFR 35.1350 if these de minimis levels are more restrictive than the minimum areas of a painted surface established in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“Multifamily dwelling”</w:t>
      </w:r>
      <w:r>
        <w:rPr>
          <w:rFonts w:ascii="Times New Roman" w:hAnsi="Times New Roman"/>
          <w:b w:val="false"/>
          <w:i w:val="false"/>
          <w:color w:val="000000"/>
          <w:sz w:val="22"/>
        </w:rPr>
        <w:t> </w:t>
      </w:r>
      <w:r>
        <w:rPr>
          <w:rFonts w:ascii="Times New Roman" w:hAnsi="Times New Roman"/>
          <w:b w:val="false"/>
          <w:i w:val="false"/>
          <w:color w:val="000000"/>
          <w:sz w:val="22"/>
        </w:rPr>
        <w:t>means a structure that contains more than one separate residential dwelling unit, which is used or occupied, or intended to be used or occupied, in whole or in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“Multifamily housing”</w:t>
      </w:r>
      <w:r>
        <w:rPr>
          <w:rFonts w:ascii="Times New Roman" w:hAnsi="Times New Roman"/>
          <w:b w:val="false"/>
          <w:i w:val="false"/>
          <w:color w:val="000000"/>
          <w:sz w:val="22"/>
        </w:rPr>
        <w:t> </w:t>
      </w:r>
      <w:r>
        <w:rPr>
          <w:rFonts w:ascii="Times New Roman" w:hAnsi="Times New Roman"/>
          <w:b w:val="false"/>
          <w:i w:val="false"/>
          <w:color w:val="000000"/>
          <w:sz w:val="22"/>
        </w:rPr>
        <w:t>means one or more multifamily dwellings that are under the same ownership or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“Negative classification”</w:t>
      </w:r>
      <w:r>
        <w:rPr>
          <w:rFonts w:ascii="Times New Roman" w:hAnsi="Times New Roman"/>
          <w:b w:val="false"/>
          <w:i w:val="false"/>
          <w:color w:val="000000"/>
          <w:sz w:val="22"/>
        </w:rPr>
        <w:t> </w:t>
      </w:r>
      <w:r>
        <w:rPr>
          <w:rFonts w:ascii="Times New Roman" w:hAnsi="Times New Roman"/>
          <w:b w:val="false"/>
          <w:i w:val="false"/>
          <w:color w:val="000000"/>
          <w:sz w:val="22"/>
        </w:rPr>
        <w:t>means any value defined by the performance characteristics sheet as indicating that lead-based paint is not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“NIST 1.02 standard film”</w:t>
      </w:r>
      <w:r>
        <w:rPr>
          <w:rFonts w:ascii="Times New Roman" w:hAnsi="Times New Roman"/>
          <w:b w:val="false"/>
          <w:i w:val="false"/>
          <w:color w:val="000000"/>
          <w:sz w:val="22"/>
        </w:rPr>
        <w:t> </w:t>
      </w:r>
      <w:r>
        <w:rPr>
          <w:rFonts w:ascii="Times New Roman" w:hAnsi="Times New Roman"/>
          <w:b w:val="false"/>
          <w:i w:val="false"/>
          <w:color w:val="000000"/>
          <w:sz w:val="22"/>
        </w:rPr>
        <w:t>means the National Institute of Standards and Technology 1.02 milligrams of lead per square centimeter standard reference material. If the specific 1.02 milligrams of lead per square centimeter standard is not available from NIST, then the lead inspector/risk assessor or elevated blood lead (EBL) inspector/risk assessor shall use the closest available standard from NIST (1.0X).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“Occupant protection plan”</w:t>
      </w:r>
      <w:r>
        <w:rPr>
          <w:rFonts w:ascii="Times New Roman" w:hAnsi="Times New Roman"/>
          <w:b w:val="false"/>
          <w:i w:val="false"/>
          <w:color w:val="000000"/>
          <w:sz w:val="22"/>
        </w:rPr>
        <w:t> </w:t>
      </w:r>
      <w:r>
        <w:rPr>
          <w:rFonts w:ascii="Times New Roman" w:hAnsi="Times New Roman"/>
          <w:b w:val="false"/>
          <w:i w:val="false"/>
          <w:color w:val="000000"/>
          <w:sz w:val="22"/>
        </w:rPr>
        <w:t>means a plan developed by a certified lead abatement contractor prior to the commencement of lead abatement in a residential dwelling or child-occupied facility that describes the measures and management procedures that will be taken during lead abatement to protect the building occupants from exposure to any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“Ongoing lead-based paint maintenance”</w:t>
      </w:r>
      <w:r>
        <w:rPr>
          <w:rFonts w:ascii="Times New Roman" w:hAnsi="Times New Roman"/>
          <w:b w:val="false"/>
          <w:i w:val="false"/>
          <w:color w:val="000000"/>
          <w:sz w:val="22"/>
        </w:rPr>
        <w:t> </w:t>
      </w:r>
      <w:r>
        <w:rPr>
          <w:rFonts w:ascii="Times New Roman" w:hAnsi="Times New Roman"/>
          <w:b w:val="false"/>
          <w:i w:val="false"/>
          <w:color w:val="000000"/>
          <w:sz w:val="22"/>
        </w:rPr>
        <w:t>means the maintenance of housing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“Painted component”</w:t>
      </w:r>
      <w:r>
        <w:rPr>
          <w:rFonts w:ascii="Times New Roman" w:hAnsi="Times New Roman"/>
          <w:b w:val="false"/>
          <w:i w:val="false"/>
          <w:color w:val="000000"/>
          <w:sz w:val="22"/>
        </w:rPr>
        <w:t> </w:t>
      </w:r>
      <w:r>
        <w:rPr>
          <w:rFonts w:ascii="Times New Roman" w:hAnsi="Times New Roman"/>
          <w:b w:val="false"/>
          <w:i w:val="false"/>
          <w:color w:val="000000"/>
          <w:sz w:val="22"/>
        </w:rPr>
        <w:t>means a component or building component that is at least partially covered with paint or other surface coating.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“Paint-lead hazard”</w:t>
      </w:r>
      <w:r>
        <w:rPr>
          <w:rFonts w:ascii="Times New Roman" w:hAnsi="Times New Roman"/>
          <w:b w:val="false"/>
          <w:i w:val="false"/>
          <w:color w:val="000000"/>
          <w:sz w:val="22"/>
        </w:rPr>
        <w:t> </w:t>
      </w:r>
      <w:r>
        <w:rPr>
          <w:rFonts w:ascii="Times New Roman" w:hAnsi="Times New Roman"/>
          <w:b w:val="false"/>
          <w:i w:val="false"/>
          <w:color w:val="000000"/>
          <w:sz w:val="22"/>
        </w:rPr>
        <w:t>means the presence of hazardous lead-based paint in a residential dwelling or a child-occupied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 sample”</w:t>
      </w:r>
      <w:r>
        <w:rPr>
          <w:rFonts w:ascii="Times New Roman" w:hAnsi="Times New Roman"/>
          <w:b w:val="false"/>
          <w:i w:val="false"/>
          <w:color w:val="000000"/>
          <w:sz w:val="22"/>
        </w:rPr>
        <w:t> </w:t>
      </w:r>
      <w:r>
        <w:rPr>
          <w:rFonts w:ascii="Times New Roman" w:hAnsi="Times New Roman"/>
          <w:b w:val="false"/>
          <w:i w:val="false"/>
          <w:color w:val="000000"/>
          <w:sz w:val="22"/>
        </w:rPr>
        <w:t>means a sample collected in a representative location using ASTM E1729, “Standard Practice for Field Collection of Dried Paint Samples for Lead Determination by Atomic Spectrometry Techniques,” as effective on March 26, 2025, or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 stabilization”</w:t>
      </w:r>
      <w:r>
        <w:rPr>
          <w:rFonts w:ascii="Times New Roman" w:hAnsi="Times New Roman"/>
          <w:b w:val="false"/>
          <w:i w:val="false"/>
          <w:color w:val="000000"/>
          <w:sz w:val="22"/>
        </w:rPr>
        <w:t> </w:t>
      </w:r>
      <w:r>
        <w:rPr>
          <w:rFonts w:ascii="Times New Roman" w:hAnsi="Times New Roman"/>
          <w:b w:val="false"/>
          <w:i w:val="false"/>
          <w:color w:val="000000"/>
          <w:sz w:val="22"/>
        </w:rPr>
        <w:t>means repairing any physical defect in the substrate of a painted surface that is causing paint deterioration, removing loose paint and other material from the surface to be treated, and applying a new protective coating or paint pursuant to 24 CFR Part 35.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“Paint testing”</w:t>
      </w:r>
      <w:r>
        <w:rPr>
          <w:rFonts w:ascii="Times New Roman" w:hAnsi="Times New Roman"/>
          <w:b w:val="false"/>
          <w:i w:val="false"/>
          <w:color w:val="000000"/>
          <w:sz w:val="22"/>
        </w:rPr>
        <w:t> </w:t>
      </w:r>
      <w:r>
        <w:rPr>
          <w:rFonts w:ascii="Times New Roman" w:hAnsi="Times New Roman"/>
          <w:b w:val="false"/>
          <w:i w:val="false"/>
          <w:color w:val="000000"/>
          <w:sz w:val="22"/>
        </w:rPr>
        <w:t>means the process of determining the presence or the absence of lead-based paint on a specific component or surface. Paint testing shall only be conducted by certified lead inspector/risk assessors or certified elevated blood lead (EBL) inspector/risk assessors using approved methods for testing. Approved methods for paint testing are XRF analysis and laboratory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“Performance characteristics sheet (PCS)”</w:t>
      </w:r>
      <w:r>
        <w:rPr>
          <w:rFonts w:ascii="Times New Roman" w:hAnsi="Times New Roman"/>
          <w:b w:val="false"/>
          <w:i w:val="false"/>
          <w:color w:val="000000"/>
          <w:sz w:val="22"/>
        </w:rPr>
        <w:t> </w:t>
      </w:r>
      <w:r>
        <w:rPr>
          <w:rFonts w:ascii="Times New Roman" w:hAnsi="Times New Roman"/>
          <w:b w:val="false"/>
          <w:i w:val="false"/>
          <w:color w:val="000000"/>
          <w:sz w:val="22"/>
        </w:rPr>
        <w:t>means an information sheet developed by the U.S. Environmental Protection Agency and U.S. Department of Housing and Urban Development that defines acceptable operating specifications and procedures for a specific model of X-ray fluorescence analyzer (XRF). The PCS contains information about XRF readings taken on specific substrates, calibration check tolerances, interpretation of XRF readings, and other aspects of the model’s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“Permanently covered soil”</w:t>
      </w:r>
      <w:r>
        <w:rPr>
          <w:rFonts w:ascii="Times New Roman" w:hAnsi="Times New Roman"/>
          <w:b w:val="false"/>
          <w:i w:val="false"/>
          <w:color w:val="000000"/>
          <w:sz w:val="22"/>
        </w:rPr>
        <w:t> </w:t>
      </w:r>
      <w:r>
        <w:rPr>
          <w:rFonts w:ascii="Times New Roman" w:hAnsi="Times New Roman"/>
          <w:b w:val="false"/>
          <w:i w:val="false"/>
          <w:color w:val="000000"/>
          <w:sz w:val="22"/>
        </w:rPr>
        <w:t>means soil that has been separated from human contact by the placement of a barrier consisting of solid, relatively impermeable materials, such as pavement or concrete. Grass, mulch, and other landscaping materials are not considered permanent covering.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“Play area”</w:t>
      </w:r>
      <w:r>
        <w:rPr>
          <w:rFonts w:ascii="Times New Roman" w:hAnsi="Times New Roman"/>
          <w:b w:val="false"/>
          <w:i w:val="false"/>
          <w:color w:val="000000"/>
          <w:sz w:val="22"/>
        </w:rPr>
        <w:t> </w:t>
      </w:r>
      <w:r>
        <w:rPr>
          <w:rFonts w:ascii="Times New Roman" w:hAnsi="Times New Roman"/>
          <w:b w:val="false"/>
          <w:i w:val="false"/>
          <w:color w:val="000000"/>
          <w:sz w:val="22"/>
        </w:rPr>
        <w:t>means an area of frequent soil contact by children of less than six years of age as indicated by, but not limited to, factors including the following: the presence of play equipment (sandboxes, swing sets, and sliding boards), toys, or other children’s possessions, observations of play patterns, or information provided by parents, residents, caregivers, or property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“Positive classification”</w:t>
      </w:r>
      <w:r>
        <w:rPr>
          <w:rFonts w:ascii="Times New Roman" w:hAnsi="Times New Roman"/>
          <w:b w:val="false"/>
          <w:i w:val="false"/>
          <w:color w:val="000000"/>
          <w:sz w:val="22"/>
        </w:rPr>
        <w:t> </w:t>
      </w:r>
      <w:r>
        <w:rPr>
          <w:rFonts w:ascii="Times New Roman" w:hAnsi="Times New Roman"/>
          <w:b w:val="false"/>
          <w:i w:val="false"/>
          <w:color w:val="000000"/>
          <w:sz w:val="22"/>
        </w:rPr>
        <w:t>means any value defined by the performance characteristics sheet as indicating the presence of lead-based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“Postrenovation cleaning verification”</w:t>
      </w:r>
      <w:r>
        <w:rPr>
          <w:rFonts w:ascii="Times New Roman" w:hAnsi="Times New Roman"/>
          <w:b w:val="false"/>
          <w:i w:val="false"/>
          <w:color w:val="000000"/>
          <w:sz w:val="22"/>
        </w:rPr>
        <w:t> </w:t>
      </w:r>
      <w:r>
        <w:rPr>
          <w:rFonts w:ascii="Times New Roman" w:hAnsi="Times New Roman"/>
          <w:b w:val="false"/>
          <w:i w:val="false"/>
          <w:color w:val="000000"/>
          <w:sz w:val="22"/>
        </w:rPr>
        <w:t>means the use of a wet or dry disposable cleaning cloth to wipe the interior windowsill, window trough, uncarpeted floor, and countertops of the renovation work area and the comparison of the cloth to a cleaning verification card to determine if the work area has been adequately cleaned.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“Principal instructor”</w:t>
      </w:r>
      <w:r>
        <w:rPr>
          <w:rFonts w:ascii="Times New Roman" w:hAnsi="Times New Roman"/>
          <w:b w:val="false"/>
          <w:i w:val="false"/>
          <w:color w:val="000000"/>
          <w:sz w:val="22"/>
        </w:rPr>
        <w:t> </w:t>
      </w:r>
      <w:r>
        <w:rPr>
          <w:rFonts w:ascii="Times New Roman" w:hAnsi="Times New Roman"/>
          <w:b w:val="false"/>
          <w:i w:val="false"/>
          <w:color w:val="000000"/>
          <w:sz w:val="22"/>
        </w:rPr>
        <w:t>means the individual who has the primary responsibility for organizing and teaching a particular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housing agency”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“PHA”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state, county, municipality, or other governmental entity or public body that is authorized to engage in or assist in the development or operation of low-income housing. A PHA must be approved by the U.S. Department of Housing and Urban Development (HUD).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“Random selection”</w:t>
      </w:r>
      <w:r>
        <w:rPr>
          <w:rFonts w:ascii="Times New Roman" w:hAnsi="Times New Roman"/>
          <w:b w:val="false"/>
          <w:i w:val="false"/>
          <w:color w:val="000000"/>
          <w:sz w:val="22"/>
        </w:rPr>
        <w:t> </w:t>
      </w:r>
      <w:r>
        <w:rPr>
          <w:rFonts w:ascii="Times New Roman" w:hAnsi="Times New Roman"/>
          <w:b w:val="false"/>
          <w:i w:val="false"/>
          <w:color w:val="000000"/>
          <w:sz w:val="22"/>
        </w:rPr>
        <w:t>means a method of choosing residential dwellings from multifamily housing consisting of similarly constructed and maintained residential dwellings such that each residential dwelling has an equal chance of being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“Recognized laboratory”</w:t>
      </w:r>
      <w:r>
        <w:rPr>
          <w:rFonts w:ascii="Times New Roman" w:hAnsi="Times New Roman"/>
          <w:b w:val="false"/>
          <w:i w:val="false"/>
          <w:color w:val="000000"/>
          <w:sz w:val="22"/>
        </w:rPr>
        <w:t> </w:t>
      </w:r>
      <w:r>
        <w:rPr>
          <w:rFonts w:ascii="Times New Roman" w:hAnsi="Times New Roman"/>
          <w:b w:val="false"/>
          <w:i w:val="false"/>
          <w:color w:val="000000"/>
          <w:sz w:val="22"/>
        </w:rPr>
        <w:t>means an environmental laboratory recognized by the U.S. Environmental Protection Agency pursuant to Section 405(b) of the federal Toxic Substance Control Act as capable of performing an analysis for lead compounds in paint, soil, and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“Recognized test kit”</w:t>
      </w:r>
      <w:r>
        <w:rPr>
          <w:rFonts w:ascii="Times New Roman" w:hAnsi="Times New Roman"/>
          <w:b w:val="false"/>
          <w:i w:val="false"/>
          <w:color w:val="000000"/>
          <w:sz w:val="22"/>
        </w:rPr>
        <w:t> </w:t>
      </w:r>
      <w:r>
        <w:rPr>
          <w:rFonts w:ascii="Times New Roman" w:hAnsi="Times New Roman"/>
          <w:b w:val="false"/>
          <w:i w:val="false"/>
          <w:color w:val="000000"/>
          <w:sz w:val="22"/>
        </w:rPr>
        <w:t>means a commercially available kit recognized by the EPA under 40 CFR 745.88 as being capable of allowing a user to determine the presence of lead at levels equal to or in excess of 1.0 milligrams per square centimeter, or more than 0.5 percent by weight, in a paint chip, paint, powder, or painted surface.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“Reduction”</w:t>
      </w:r>
      <w:r>
        <w:rPr>
          <w:rFonts w:ascii="Times New Roman" w:hAnsi="Times New Roman"/>
          <w:b w:val="false"/>
          <w:i w:val="false"/>
          <w:color w:val="000000"/>
          <w:sz w:val="22"/>
        </w:rPr>
        <w:t> </w:t>
      </w:r>
      <w:r>
        <w:rPr>
          <w:rFonts w:ascii="Times New Roman" w:hAnsi="Times New Roman"/>
          <w:b w:val="false"/>
          <w:i w:val="false"/>
          <w:color w:val="000000"/>
          <w:sz w:val="22"/>
        </w:rPr>
        <w:t>means measures designed to reduce or eliminate human exposure to lead-based paint hazards through methods including interim controls and lead abatement.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“Reevaluation”</w:t>
      </w:r>
      <w:r>
        <w:rPr>
          <w:rFonts w:ascii="Times New Roman" w:hAnsi="Times New Roman"/>
          <w:b w:val="false"/>
          <w:i w:val="false"/>
          <w:color w:val="000000"/>
          <w:sz w:val="22"/>
        </w:rPr>
        <w:t> </w:t>
      </w:r>
      <w:r>
        <w:rPr>
          <w:rFonts w:ascii="Times New Roman" w:hAnsi="Times New Roman"/>
          <w:b w:val="false"/>
          <w:i w:val="false"/>
          <w:color w:val="000000"/>
          <w:sz w:val="22"/>
        </w:rPr>
        <w:t>means a visual assessment of painted surfaces and limited dust and soil sampling conducted periodically following a lead-based paint hazard reduction activity where lead-based paint is still present and the provision of a written report explaining the results of the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“Refresher training course”</w:t>
      </w:r>
      <w:r>
        <w:rPr>
          <w:rFonts w:ascii="Times New Roman" w:hAnsi="Times New Roman"/>
          <w:b w:val="false"/>
          <w:i w:val="false"/>
          <w:color w:val="000000"/>
          <w:sz w:val="22"/>
        </w:rPr>
        <w:t> </w:t>
      </w:r>
      <w:r>
        <w:rPr>
          <w:rFonts w:ascii="Times New Roman" w:hAnsi="Times New Roman"/>
          <w:b w:val="false"/>
          <w:i w:val="false"/>
          <w:color w:val="000000"/>
          <w:sz w:val="22"/>
        </w:rPr>
        <w:t>means a course taken by a certified lead professional to maintain certification in a particular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“Regulated entity”</w:t>
      </w:r>
      <w:r>
        <w:rPr>
          <w:rFonts w:ascii="Times New Roman" w:hAnsi="Times New Roman"/>
          <w:b w:val="false"/>
          <w:i w:val="false"/>
          <w:color w:val="000000"/>
          <w:sz w:val="22"/>
        </w:rPr>
        <w:t> </w:t>
      </w:r>
      <w:r>
        <w:rPr>
          <w:rFonts w:ascii="Times New Roman" w:hAnsi="Times New Roman"/>
          <w:b w:val="false"/>
          <w:i w:val="false"/>
          <w:color w:val="000000"/>
          <w:sz w:val="22"/>
        </w:rPr>
        <w:t>means any lead professional or firm that is regulated by the department by virtue of these rules, the Iowa Code, certification documents, approval documents, lead abatement notices, or other official regulatory promulgation.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“Rehabilitation”</w:t>
      </w:r>
      <w:r>
        <w:rPr>
          <w:rFonts w:ascii="Times New Roman" w:hAnsi="Times New Roman"/>
          <w:b w:val="false"/>
          <w:i w:val="false"/>
          <w:color w:val="000000"/>
          <w:sz w:val="22"/>
        </w:rPr>
        <w:t> </w:t>
      </w:r>
      <w:r>
        <w:rPr>
          <w:rFonts w:ascii="Times New Roman" w:hAnsi="Times New Roman"/>
          <w:b w:val="false"/>
          <w:i w:val="false"/>
          <w:color w:val="000000"/>
          <w:sz w:val="22"/>
        </w:rPr>
        <w:t>means the improvement of an existing structure through alterations, incidental additions, or enhancements. Rehabilitation includes repairs necessary to correct the results of deferred maintenance, the replacement of principal fixtures and components, improvements to increase the efficient use of energy, and installation of security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“Renovation”</w:t>
      </w:r>
      <w:r>
        <w:rPr>
          <w:rFonts w:ascii="Times New Roman" w:hAnsi="Times New Roman"/>
          <w:b w:val="false"/>
          <w:i w:val="false"/>
          <w:color w:val="000000"/>
          <w:sz w:val="22"/>
        </w:rPr>
        <w:t> </w:t>
      </w:r>
      <w:r>
        <w:rPr>
          <w:rFonts w:ascii="Times New Roman" w:hAnsi="Times New Roman"/>
          <w:b w:val="false"/>
          <w:i w:val="false"/>
          <w:color w:val="000000"/>
          <w:sz w:val="22"/>
        </w:rPr>
        <w:t>means the modification of any existing structure, or portion thereof, that results in the disturbance of painted surfaces, unless that activity is performed as part of lead abatement as defined by this chapter. The term “renovation” includes, but is not limited to, the removal, modification, or repair of painted surfaces or painted components such as modification of painted doors, surface restoration, and window repair; surface preparation activity such as sanding, scraping, or other such activities that may generate paint dust; the partial or complete removal of building components such as walls, ceilings, and windows; weatherization projects such as cutting holes in painted surfaces to install blown-in insulation or to gain access to attics and planning thresholds to install weatherstripping; and interim controls that disturb painted surfaces. “Renovation” does not include minor repair and maintenance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building”</w:t>
      </w:r>
      <w:r>
        <w:rPr>
          <w:rFonts w:ascii="Times New Roman" w:hAnsi="Times New Roman"/>
          <w:b w:val="false"/>
          <w:i w:val="false"/>
          <w:color w:val="000000"/>
          <w:sz w:val="22"/>
        </w:rPr>
        <w:t> </w:t>
      </w:r>
      <w:r>
        <w:rPr>
          <w:rFonts w:ascii="Times New Roman" w:hAnsi="Times New Roman"/>
          <w:b w:val="false"/>
          <w:i w:val="false"/>
          <w:color w:val="000000"/>
          <w:sz w:val="22"/>
        </w:rPr>
        <w:t>means a building containing one or more residential dwellings.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“Residential dwelling”</w:t>
      </w:r>
      <w:r>
        <w:rPr>
          <w:rFonts w:ascii="Times New Roman" w:hAnsi="Times New Roman"/>
          <w:b w:val="false"/>
          <w:i w:val="false"/>
          <w:color w:val="000000"/>
          <w:sz w:val="22"/>
        </w:rPr>
        <w:t> </w:t>
      </w:r>
      <w:r>
        <w:rPr>
          <w:rFonts w:ascii="Times New Roman" w:hAnsi="Times New Roman"/>
          <w:b w:val="false"/>
          <w:i w:val="false"/>
          <w:color w:val="000000"/>
          <w:sz w:val="22"/>
        </w:rPr>
        <w:t>means (1) a detached single-family dwelling unit, including the surrounding yard, attached structures such as porches and stoops, and detached buildings and structures including but not limited to garages, farm buildings, and fences, or (2) a single-family dwelling unit in a structure that contains more than one separate residential dwelling unit, that is used or occupied, or intended to be used or occupied, in whole or part, as the home or residence of one or more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“Risk assessment”</w:t>
      </w:r>
      <w:r>
        <w:rPr>
          <w:rFonts w:ascii="Times New Roman" w:hAnsi="Times New Roman"/>
          <w:b w:val="false"/>
          <w:i w:val="false"/>
          <w:color w:val="000000"/>
          <w:sz w:val="22"/>
        </w:rPr>
        <w:t> </w:t>
      </w:r>
      <w:r>
        <w:rPr>
          <w:rFonts w:ascii="Times New Roman" w:hAnsi="Times New Roman"/>
          <w:b w:val="false"/>
          <w:i w:val="false"/>
          <w:color w:val="000000"/>
          <w:sz w:val="22"/>
        </w:rPr>
        <w:t>means an investigation to determine the existence, nature, severity, and location of lead-based paint hazards in a residential dwelling or child-occupied facility and the provision of a written report explaining the results of the investigation and options for reducing lead-based paint hazards to the property owner and to the person requesting the risk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“Room”</w:t>
      </w:r>
      <w:r>
        <w:rPr>
          <w:rFonts w:ascii="Times New Roman" w:hAnsi="Times New Roman"/>
          <w:b w:val="false"/>
          <w:i w:val="false"/>
          <w:color w:val="000000"/>
          <w:sz w:val="22"/>
        </w:rPr>
        <w:t> </w:t>
      </w:r>
      <w:r>
        <w:rPr>
          <w:rFonts w:ascii="Times New Roman" w:hAnsi="Times New Roman"/>
          <w:b w:val="false"/>
          <w:i w:val="false"/>
          <w:color w:val="000000"/>
          <w:sz w:val="22"/>
        </w:rPr>
        <w:t>means a separate part of the inside of a building, such as a bedroom, living room, dining room, kitchen, bathroom, laundry room, or utility room. To be considered a separate room, the room must be separated from adjoining rooms by built-in walls or archways that extend at least six inches from an intersecting wall. Half walls or bookcases count as room separators if built-in. Movable or collapsible partitions or partitions consisting solely of shelves or cabinets are not considered built-in walls. A screened-in porch that is used as a living area is a room. Each exterior side of the house is considered a separate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“Soil-lead hazard”</w:t>
      </w:r>
      <w:r>
        <w:rPr>
          <w:rFonts w:ascii="Times New Roman" w:hAnsi="Times New Roman"/>
          <w:b w:val="false"/>
          <w:i w:val="false"/>
          <w:color w:val="000000"/>
          <w:sz w:val="22"/>
        </w:rPr>
        <w:t> </w:t>
      </w:r>
      <w:r>
        <w:rPr>
          <w:rFonts w:ascii="Times New Roman" w:hAnsi="Times New Roman"/>
          <w:b w:val="false"/>
          <w:i w:val="false"/>
          <w:color w:val="000000"/>
          <w:sz w:val="22"/>
        </w:rPr>
        <w:t>means bare soil on residential real property or on the property of a child-occupied facility that contains total lead greater than or equal to 400 parts per million for the dripline, mid-yard, and play areas. A soil-lead hazard is present in a dripline, mid-yard, or play area when the soil-lead concentration from a composite sample of bare soil is greater than or equal to 400 parts per million.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“Soil sample”</w:t>
      </w:r>
      <w:r>
        <w:rPr>
          <w:rFonts w:ascii="Times New Roman" w:hAnsi="Times New Roman"/>
          <w:b w:val="false"/>
          <w:i w:val="false"/>
          <w:color w:val="000000"/>
          <w:sz w:val="22"/>
        </w:rPr>
        <w:t> </w:t>
      </w:r>
      <w:r>
        <w:rPr>
          <w:rFonts w:ascii="Times New Roman" w:hAnsi="Times New Roman"/>
          <w:b w:val="false"/>
          <w:i w:val="false"/>
          <w:color w:val="000000"/>
          <w:sz w:val="22"/>
        </w:rPr>
        <w:t>means a sample collected in a representative location using ASTM E1727, “Standard Practice for Field Collection of Soil Samples by Atomic Spectrometry Techniques,” as effective on March 26, 2025, or equivalent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treatments”</w:t>
      </w:r>
      <w:r>
        <w:rPr>
          <w:rFonts w:ascii="Times New Roman" w:hAnsi="Times New Roman"/>
          <w:b w:val="false"/>
          <w:i w:val="false"/>
          <w:color w:val="000000"/>
          <w:sz w:val="22"/>
        </w:rPr>
        <w:t> </w:t>
      </w:r>
      <w:r>
        <w:rPr>
          <w:rFonts w:ascii="Times New Roman" w:hAnsi="Times New Roman"/>
          <w:b w:val="false"/>
          <w:i w:val="false"/>
          <w:color w:val="000000"/>
          <w:sz w:val="22"/>
        </w:rPr>
        <w:t>means a series of hazard reduction measures designed to reduce all lead-based paint hazards in a residential dwelling without the benefit of a risk assessment or other evaluation pursuant to 24 CFR Part 35. Standard treatments consist of the stabilization of all deteriorated interior and exterior paint, the provision of smooth and cleanable horizontal hard surfaces, the correction of dust-generating conditions (i.e., conditions causing rubbing, binding, or crushing of surfaces known to or presumed to be coated with lead-based paint), and the treatment of bare soil to control known or presumed soil-lead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certification examination”</w:t>
      </w:r>
      <w:r>
        <w:rPr>
          <w:rFonts w:ascii="Times New Roman" w:hAnsi="Times New Roman"/>
          <w:b w:val="false"/>
          <w:i w:val="false"/>
          <w:color w:val="000000"/>
          <w:sz w:val="22"/>
        </w:rPr>
        <w:t> </w:t>
      </w:r>
      <w:r>
        <w:rPr>
          <w:rFonts w:ascii="Times New Roman" w:hAnsi="Times New Roman"/>
          <w:b w:val="false"/>
          <w:i w:val="false"/>
          <w:color w:val="000000"/>
          <w:sz w:val="22"/>
        </w:rPr>
        <w:t>means a discipline-specific examination approved by the department to test the knowledge of a person who has completed an approved training course and is applying for certification in a particular discipline. The state certification examination may not be administered by the provider of an approved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“Substrate”</w:t>
      </w:r>
      <w:r>
        <w:rPr>
          <w:rFonts w:ascii="Times New Roman" w:hAnsi="Times New Roman"/>
          <w:b w:val="false"/>
          <w:i w:val="false"/>
          <w:color w:val="000000"/>
          <w:sz w:val="22"/>
        </w:rPr>
        <w:t> </w:t>
      </w:r>
      <w:r>
        <w:rPr>
          <w:rFonts w:ascii="Times New Roman" w:hAnsi="Times New Roman"/>
          <w:b w:val="false"/>
          <w:i w:val="false"/>
          <w:color w:val="000000"/>
          <w:sz w:val="22"/>
        </w:rPr>
        <w:t>means the material underneath the paint or finish on a surface. Substrates are classified as brick, concrete, drywall, metal, plaster, or wood.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“Substrate correction”</w:t>
      </w:r>
      <w:r>
        <w:rPr>
          <w:rFonts w:ascii="Times New Roman" w:hAnsi="Times New Roman"/>
          <w:b w:val="false"/>
          <w:i w:val="false"/>
          <w:color w:val="000000"/>
          <w:sz w:val="22"/>
        </w:rPr>
        <w:t> </w:t>
      </w:r>
      <w:r>
        <w:rPr>
          <w:rFonts w:ascii="Times New Roman" w:hAnsi="Times New Roman"/>
          <w:b w:val="false"/>
          <w:i w:val="false"/>
          <w:color w:val="000000"/>
          <w:sz w:val="22"/>
        </w:rPr>
        <w:t>means adjustments that must be made to readings obtained from some X-ray fluorescence analyzers to correct for systematic biases due to interference from the substrate beneath the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“Substrate correction value”</w:t>
      </w:r>
      <w:r>
        <w:rPr>
          <w:rFonts w:ascii="Times New Roman" w:hAnsi="Times New Roman"/>
          <w:b w:val="false"/>
          <w:i w:val="false"/>
          <w:color w:val="000000"/>
          <w:sz w:val="22"/>
        </w:rPr>
        <w:t> </w:t>
      </w:r>
      <w:r>
        <w:rPr>
          <w:rFonts w:ascii="Times New Roman" w:hAnsi="Times New Roman"/>
          <w:b w:val="false"/>
          <w:i w:val="false"/>
          <w:color w:val="000000"/>
          <w:sz w:val="22"/>
        </w:rPr>
        <w:t>means the value that is used to adjust readings obtained from some X-ray fluorescence analyzers to correct for systematic biases due to interference from the substrate beneath the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“Targeted selection”</w:t>
      </w:r>
      <w:r>
        <w:rPr>
          <w:rFonts w:ascii="Times New Roman" w:hAnsi="Times New Roman"/>
          <w:b w:val="false"/>
          <w:i w:val="false"/>
          <w:color w:val="000000"/>
          <w:sz w:val="22"/>
        </w:rPr>
        <w:t> </w:t>
      </w:r>
      <w:r>
        <w:rPr>
          <w:rFonts w:ascii="Times New Roman" w:hAnsi="Times New Roman"/>
          <w:b w:val="false"/>
          <w:i w:val="false"/>
          <w:color w:val="000000"/>
          <w:sz w:val="22"/>
        </w:rPr>
        <w:t>means selecting residential dwellings from multifamily housing for risk assessments or lead hazard screens using information supplied by the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“Target housing”</w:t>
      </w:r>
      <w:r>
        <w:rPr>
          <w:rFonts w:ascii="Times New Roman" w:hAnsi="Times New Roman"/>
          <w:b w:val="false"/>
          <w:i w:val="false"/>
          <w:color w:val="000000"/>
          <w:sz w:val="22"/>
        </w:rPr>
        <w:t> </w:t>
      </w:r>
      <w:r>
        <w:rPr>
          <w:rFonts w:ascii="Times New Roman" w:hAnsi="Times New Roman"/>
          <w:b w:val="false"/>
          <w:i w:val="false"/>
          <w:color w:val="000000"/>
          <w:sz w:val="22"/>
        </w:rPr>
        <w:t>means housing constructed prior to 1978 with the exception of housing for the elderly or for persons with disabilities and housing that does not contain a bedroom, unless at least one child under the age of six years resides or is expected to reside in the housing for the elderly or persons with disabilities or housing that does not contain a bedroom. Target housing also includes any nonresidential building where lead-based paint activities are conducted prior to or during the conversion of the nonresidential building to target housing.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“Testing combination”</w:t>
      </w:r>
      <w:r>
        <w:rPr>
          <w:rFonts w:ascii="Times New Roman" w:hAnsi="Times New Roman"/>
          <w:b w:val="false"/>
          <w:i w:val="false"/>
          <w:color w:val="000000"/>
          <w:sz w:val="22"/>
        </w:rPr>
        <w:t> </w:t>
      </w:r>
      <w:r>
        <w:rPr>
          <w:rFonts w:ascii="Times New Roman" w:hAnsi="Times New Roman"/>
          <w:b w:val="false"/>
          <w:i w:val="false"/>
          <w:color w:val="000000"/>
          <w:sz w:val="22"/>
        </w:rPr>
        <w:t>means the unique combination of the room, component, substrate, and distinct painting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hour”</w:t>
      </w:r>
      <w:r>
        <w:rPr>
          <w:rFonts w:ascii="Times New Roman" w:hAnsi="Times New Roman"/>
          <w:b w:val="false"/>
          <w:i w:val="false"/>
          <w:color w:val="000000"/>
          <w:sz w:val="22"/>
        </w:rPr>
        <w:t> </w:t>
      </w:r>
      <w:r>
        <w:rPr>
          <w:rFonts w:ascii="Times New Roman" w:hAnsi="Times New Roman"/>
          <w:b w:val="false"/>
          <w:i w:val="false"/>
          <w:color w:val="000000"/>
          <w:sz w:val="22"/>
        </w:rPr>
        <w:t>means at least 50 minutes of actual learning, including but not limited to time devoted to lecture, learning activities, small group activities, demonstrations, evaluations, or hands-on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manager”</w:t>
      </w:r>
      <w:r>
        <w:rPr>
          <w:rFonts w:ascii="Times New Roman" w:hAnsi="Times New Roman"/>
          <w:b w:val="false"/>
          <w:i w:val="false"/>
          <w:color w:val="000000"/>
          <w:sz w:val="22"/>
        </w:rPr>
        <w:t> </w:t>
      </w:r>
      <w:r>
        <w:rPr>
          <w:rFonts w:ascii="Times New Roman" w:hAnsi="Times New Roman"/>
          <w:b w:val="false"/>
          <w:i w:val="false"/>
          <w:color w:val="000000"/>
          <w:sz w:val="22"/>
        </w:rPr>
        <w:t>means the individual responsible for administering an approved course and monitoring the performance of principal instructors and guest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program”</w:t>
      </w:r>
      <w:r>
        <w:rPr>
          <w:rFonts w:ascii="Times New Roman" w:hAnsi="Times New Roman"/>
          <w:b w:val="false"/>
          <w:i w:val="false"/>
          <w:color w:val="000000"/>
          <w:sz w:val="22"/>
        </w:rPr>
        <w:t> </w:t>
      </w:r>
      <w:r>
        <w:rPr>
          <w:rFonts w:ascii="Times New Roman" w:hAnsi="Times New Roman"/>
          <w:b w:val="false"/>
          <w:i w:val="false"/>
          <w:color w:val="000000"/>
          <w:sz w:val="22"/>
        </w:rPr>
        <w:t>means a person or organization sponsoring a lead professional training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“Visual inspection for clearance testing”</w:t>
      </w:r>
      <w:r>
        <w:rPr>
          <w:rFonts w:ascii="Times New Roman" w:hAnsi="Times New Roman"/>
          <w:b w:val="false"/>
          <w:i w:val="false"/>
          <w:color w:val="000000"/>
          <w:sz w:val="22"/>
        </w:rPr>
        <w:t> </w:t>
      </w:r>
      <w:r>
        <w:rPr>
          <w:rFonts w:ascii="Times New Roman" w:hAnsi="Times New Roman"/>
          <w:b w:val="false"/>
          <w:i w:val="false"/>
          <w:color w:val="000000"/>
          <w:sz w:val="22"/>
        </w:rPr>
        <w:t>means the visual examination of a residential dwelling or a child-occupied facility following lead abatement or following interim controls, paint stabilization, standard treatments, ongoing lead-based paint maintenance, or rehabilitation pursuant to 24 CFR 35.1340 to determine whether or not the lead abatement, interim controls, paint stabilization, standard treatments, ongoing lead-based paint maintenance, or rehabilitation has been successfully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“Visual risk assessment”</w:t>
      </w:r>
      <w:r>
        <w:rPr>
          <w:rFonts w:ascii="Times New Roman" w:hAnsi="Times New Roman"/>
          <w:b w:val="false"/>
          <w:i w:val="false"/>
          <w:color w:val="000000"/>
          <w:sz w:val="22"/>
        </w:rPr>
        <w:t> </w:t>
      </w:r>
      <w:r>
        <w:rPr>
          <w:rFonts w:ascii="Times New Roman" w:hAnsi="Times New Roman"/>
          <w:b w:val="false"/>
          <w:i w:val="false"/>
          <w:color w:val="000000"/>
          <w:sz w:val="22"/>
        </w:rPr>
        <w:t>means a visual assessment to determine the presence of deteriorated paint or other potential sources of lead-based paint hazards in a residential dwelling or child-occupied facility and the provision of a written report explaining the results of the assessment to the property owner and to the person requesting the visual risk assessment. For the purpose of compliance with this chapter, housing quality standards inspections conducted in housing owned by a public housing authority and housing that is receiving tenant-based rental assistance from a public housing authority are not considered visual risk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“Weighted arithmetic mean”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arithmetic mean of sample results weighted by the number of subsamples in each sample. Its purpose is to give influence to a sample relative to the surface area it represents. A single surface dust sample is comprised of a single dust subsample. A composite dust sample may contain from two to four dust subsamples of the same area as each other and of each single surface dust sample in the composite. The weighted arithmetic mean is obtained by summing, for all dust samples, the product of the dust sample’s result multiplied by the number of dust subsamples in the dust sample, and dividing the sum by the total number of dust subsamples contained in all dust samples.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disposable cleaning cloth”</w:t>
      </w:r>
      <w:r>
        <w:rPr>
          <w:rFonts w:ascii="Times New Roman" w:hAnsi="Times New Roman"/>
          <w:b w:val="false"/>
          <w:i w:val="false"/>
          <w:color w:val="000000"/>
          <w:sz w:val="22"/>
        </w:rPr>
        <w:t> </w:t>
      </w:r>
      <w:r>
        <w:rPr>
          <w:rFonts w:ascii="Times New Roman" w:hAnsi="Times New Roman"/>
          <w:b w:val="false"/>
          <w:i w:val="false"/>
          <w:color w:val="000000"/>
          <w:sz w:val="22"/>
        </w:rPr>
        <w:t>means a commercially available, premoistened white disposable cloth designed to be used for cleaning hard surfaces such as uncarpeted floors or countertops.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mopping system”</w:t>
      </w:r>
      <w:r>
        <w:rPr>
          <w:rFonts w:ascii="Times New Roman" w:hAnsi="Times New Roman"/>
          <w:b w:val="false"/>
          <w:i w:val="false"/>
          <w:color w:val="000000"/>
          <w:sz w:val="22"/>
        </w:rPr>
        <w:t> </w:t>
      </w:r>
      <w:r>
        <w:rPr>
          <w:rFonts w:ascii="Times New Roman" w:hAnsi="Times New Roman"/>
          <w:b w:val="false"/>
          <w:i w:val="false"/>
          <w:color w:val="000000"/>
          <w:sz w:val="22"/>
        </w:rPr>
        <w:t>means a device with the following characteristics: a long handle, a mop head designed to be used with disposable absorbent cleaning pads, a reservoir for cleaning solution, and a built-in mechanism for distributing or spraying the cleaning solution onto a floor, or a method of equivalent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sanding”</w:t>
      </w:r>
      <w:r>
        <w:rPr>
          <w:rFonts w:ascii="Times New Roman" w:hAnsi="Times New Roman"/>
          <w:b w:val="false"/>
          <w:i w:val="false"/>
          <w:color w:val="000000"/>
          <w:sz w:val="22"/>
        </w:rPr>
        <w:t> </w:t>
      </w:r>
      <w:r>
        <w:rPr>
          <w:rFonts w:ascii="Times New Roman" w:hAnsi="Times New Roman"/>
          <w:b w:val="false"/>
          <w:i w:val="false"/>
          <w:color w:val="000000"/>
          <w:sz w:val="22"/>
        </w:rPr>
        <w:t>means a process of removing loose paint in which a surface that is partially coated with paint or other surface coating is kept wet or moist during sanding to minimize the dispersal of paint chips and airborne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“Wet scraping”</w:t>
      </w:r>
      <w:r>
        <w:rPr>
          <w:rFonts w:ascii="Times New Roman" w:hAnsi="Times New Roman"/>
          <w:b w:val="false"/>
          <w:i w:val="false"/>
          <w:color w:val="000000"/>
          <w:sz w:val="22"/>
        </w:rPr>
        <w:t> </w:t>
      </w:r>
      <w:r>
        <w:rPr>
          <w:rFonts w:ascii="Times New Roman" w:hAnsi="Times New Roman"/>
          <w:b w:val="false"/>
          <w:i w:val="false"/>
          <w:color w:val="000000"/>
          <w:sz w:val="22"/>
        </w:rPr>
        <w:t>means a process of removing loose paint in which a surface that is partially coated with paint or other surface coating is kept wet or moist during scraping to minimize the dispersal of paint chips and airborne dust.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“Windowsill”</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horizontal window ledge that protrudes into the interior of the room when the window is 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“Window trough”</w:t>
      </w:r>
      <w:r>
        <w:rPr>
          <w:rFonts w:ascii="Times New Roman" w:hAnsi="Times New Roman"/>
          <w:b w:val="false"/>
          <w:i w:val="false"/>
          <w:color w:val="000000"/>
          <w:sz w:val="22"/>
        </w:rPr>
        <w:t> </w:t>
      </w:r>
      <w:r>
        <w:rPr>
          <w:rFonts w:ascii="Times New Roman" w:hAnsi="Times New Roman"/>
          <w:b w:val="false"/>
          <w:i w:val="false"/>
          <w:color w:val="000000"/>
          <w:sz w:val="22"/>
        </w:rPr>
        <w:t>means, for a typical double-hung window, the portion of the exterior windowsill between the interior windowsill (or stool) and the frame of the storm window. If there is no storm window, the window trough is the area that receives both the upper and lower window sashes when they are both lowered. The window trough is sometimes referred to as the window well.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“Wipe sample”</w:t>
      </w:r>
      <w:r>
        <w:rPr>
          <w:rFonts w:ascii="Times New Roman" w:hAnsi="Times New Roman"/>
          <w:b w:val="false"/>
          <w:i w:val="false"/>
          <w:color w:val="000000"/>
          <w:sz w:val="22"/>
        </w:rPr>
        <w:t> </w:t>
      </w:r>
      <w:r>
        <w:rPr>
          <w:rFonts w:ascii="Times New Roman" w:hAnsi="Times New Roman"/>
          <w:b w:val="false"/>
          <w:i w:val="false"/>
          <w:color w:val="000000"/>
          <w:sz w:val="22"/>
        </w:rPr>
        <w:t>means a sample collected by wiping a representative surface of known area, as determined by ASTM E1728, “Standard Practice for Field Collection of Settled Dust Samples Using Wipe Sampling Methods for Lead Determination by Atomic Spectrometry Techniques,” as effective on March 26, 2025, or equivalent method, with an acceptable wipe material as defined in ASTM E1792, “Standard Specification for Wipe Sampling Materials for Lead in Surface Dust,” as effective on March 26, 2025. The minimum area for a floor wipe sample shall be 0.50 square feet or 72 square inches. The minimum area for a windowsill wipe sample and for a window trough wipe sample shall be 0.25 square feet or 36 square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“Worksite”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“work area”</w:t>
      </w:r>
      <w:r>
        <w:rPr>
          <w:rFonts w:ascii="Times New Roman" w:hAnsi="Times New Roman"/>
          <w:b w:val="false"/>
          <w:i w:val="false"/>
          <w:color w:val="000000"/>
          <w:sz w:val="22"/>
        </w:rPr>
        <w:t> </w:t>
      </w:r>
      <w:r>
        <w:rPr>
          <w:rFonts w:ascii="Times New Roman" w:hAnsi="Times New Roman"/>
          <w:b w:val="false"/>
          <w:i w:val="false"/>
          <w:color w:val="000000"/>
          <w:sz w:val="22"/>
        </w:rPr>
        <w:t>means an interior or exterior area where lead-based paint hazard reduction activity or renovation takes place. There may be more than one worksite in a dwelling unit or at a residential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“Worst case selection”</w:t>
      </w:r>
      <w:r>
        <w:rPr>
          <w:rFonts w:ascii="Times New Roman" w:hAnsi="Times New Roman"/>
          <w:b w:val="false"/>
          <w:i w:val="false"/>
          <w:color w:val="000000"/>
          <w:sz w:val="22"/>
        </w:rPr>
        <w:t> </w:t>
      </w:r>
      <w:r>
        <w:rPr>
          <w:rFonts w:ascii="Times New Roman" w:hAnsi="Times New Roman"/>
          <w:b w:val="false"/>
          <w:i w:val="false"/>
          <w:color w:val="000000"/>
          <w:sz w:val="22"/>
        </w:rPr>
        <w:t>means conducting a walk-through survey of all residential dwellings in the multifamily housing to select the highest-risk residential dwellings for risk assessments or lead hazard screens.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“X-ray fluorescence analyzer”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“XRF analyzer”</w:t>
      </w:r>
      <w:r>
        <w:rPr>
          <w:rFonts w:ascii="Times New Roman" w:hAnsi="Times New Roman"/>
          <w:b w:val="false"/>
          <w:i w:val="false"/>
          <w:color w:val="000000"/>
          <w:sz w:val="22"/>
        </w:rPr>
        <w:t> </w:t>
      </w:r>
      <w:r>
        <w:rPr>
          <w:rFonts w:ascii="Times New Roman" w:hAnsi="Times New Roman"/>
          <w:b w:val="false"/>
          <w:i w:val="false"/>
          <w:color w:val="000000"/>
          <w:sz w:val="22"/>
        </w:rPr>
        <w:t>means an instrument that determines lead concentrations in milligrams per square centimeter (mg/cm</w:t>
      </w:r>
      <w:r>
        <w:rPr>
          <w:rFonts w:ascii="Times New Roman" w:hAnsi="Times New Roman"/>
          <w:b w:val="false"/>
          <w:i w:val="false"/>
          <w:color w:val="000000"/>
          <w:sz w:val="11"/>
          <w:vertAlign w:val="superscript"/>
        </w:rPr>
        <w:t>2</w:t>
      </w:r>
      <w:r>
        <w:rPr>
          <w:rFonts w:ascii="Times New Roman" w:hAnsi="Times New Roman"/>
          <w:b w:val="false"/>
          <w:i w:val="false"/>
          <w:color w:val="000000"/>
          <w:sz w:val="22"/>
        </w:rPr>
        <w:t>) using the principle of X-ray fluorescence.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“XRF reading”</w:t>
      </w:r>
      <w:r>
        <w:rPr>
          <w:rFonts w:ascii="Times New Roman" w:hAnsi="Times New Roman"/>
          <w:b w:val="false"/>
          <w:i w:val="false"/>
          <w:color w:val="000000"/>
          <w:sz w:val="22"/>
        </w:rPr>
        <w:t> </w:t>
      </w:r>
      <w:r>
        <w:rPr>
          <w:rFonts w:ascii="Times New Roman" w:hAnsi="Times New Roman"/>
          <w:b w:val="false"/>
          <w:i w:val="false"/>
          <w:color w:val="000000"/>
          <w:sz w:val="22"/>
        </w:rPr>
        <w:t>means the number obtained when a surface is tested with an X-ray fluorescence analyzer.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8908C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 xml:space="preserve">; </w:t>
      </w:r>
      <w:r>
        <w:rPr>
          <w:rFonts w:ascii="Times New Roman" w:hAnsi="Times New Roman"/>
          <w:b/>
          <w:i w:val="false"/>
          <w:color w:val="000000"/>
          <w:sz w:val="16"/>
        </w:rPr>
        <w:t>ARC 0595D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470.5.pdf" Type="http://schemas.openxmlformats.org/officeDocument/2006/relationships/hyperlink" Id="rId4"/>
    <Relationship TargetMode="External" Target="https://www.legis.iowa.gov/docs/iac/rule/481.470.7.pdf" Type="http://schemas.openxmlformats.org/officeDocument/2006/relationships/hyperlink" Id="rId5"/>
    <Relationship TargetMode="External" Target="https://www.legis.iowa.gov/docs/iac/rule/481.470.5.pdf" Type="http://schemas.openxmlformats.org/officeDocument/2006/relationships/hyperlink" Id="rId6"/>
    <Relationship TargetMode="External" Target="https://www.legis.iowa.gov/docs/iac/rule/481.470.5.pdf" Type="http://schemas.openxmlformats.org/officeDocument/2006/relationships/hyperlink" Id="rId7"/>
    <Relationship TargetMode="External" Target="https://www.legis.iowa.gov/docs/iac/rule/481.470.5.pdf" Type="http://schemas.openxmlformats.org/officeDocument/2006/relationships/hyperlink" Id="rId8"/>
    <Relationship TargetMode="External" Target="https://www.legis.iowa.gov/docs/iac/rule/481.470.5.pdf" Type="http://schemas.openxmlformats.org/officeDocument/2006/relationships/hyperlink" Id="rId9"/>
    <Relationship TargetMode="External" Target="https://www.legis.iowa.gov/docs/iac/rule/481.470.5.pdf" Type="http://schemas.openxmlformats.org/officeDocument/2006/relationships/hyperlink" Id="rId10"/>
    <Relationship TargetMode="External" Target="https://www.legis.iowa.gov/docs/iac/rule/481.470.5.pdf" Type="http://schemas.openxmlformats.org/officeDocument/2006/relationships/hyperlink" Id="rId11"/>
    <Relationship TargetMode="External" Target="https://www.legis.iowa.gov/docs/ico/chapter/10A.903.pdf" Type="http://schemas.openxmlformats.org/officeDocument/2006/relationships/hyperlink" Id="rId12"/>
    <Relationship TargetMode="External" Target="https://www.legis.iowa.gov/docs/iac/rule/481.470.6.pdf" Type="http://schemas.openxmlformats.org/officeDocument/2006/relationships/hyperlink" Id="rId13"/>
    <Relationship TargetMode="External" Target="https://www.legis.iowa.gov/docs/iac/rule/481.470.5.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