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481—469.2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“Arithmetic mean”</w:t>
      </w:r>
      <w:r>
        <w:rPr>
          <w:rFonts w:ascii="Times New Roman" w:hAnsi="Times New Roman"/>
          <w:b w:val="false"/>
          <w:i w:val="false"/>
          <w:color w:val="000000"/>
          <w:sz w:val="22"/>
        </w:rPr>
        <w:t>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mailing”</w:t>
      </w:r>
      <w:r>
        <w:rPr>
          <w:rFonts w:ascii="Times New Roman" w:hAnsi="Times New Roman"/>
          <w:b w:val="false"/>
          <w:i w:val="false"/>
          <w:color w:val="000000"/>
          <w:sz w:val="22"/>
        </w:rPr>
        <w:t> </w:t>
      </w:r>
      <w:r>
        <w:rPr>
          <w:rFonts w:ascii="Times New Roman" w:hAnsi="Times New Roman"/>
          <w:b w:val="false"/>
          <w:i w:val="false"/>
          <w:color w:val="000000"/>
          <w:sz w:val="22"/>
        </w:rPr>
        <w:t>means certified mail with return receipt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“Chewable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“Child-occupied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w:t>
      </w:r>
      <w:r>
        <w:rPr>
          <w:rFonts w:ascii="Times New Roman" w:hAnsi="Times New Roman"/>
          <w:b w:val="false"/>
          <w:i w:val="false"/>
          <w:color w:val="000000"/>
          <w:sz w:val="22"/>
        </w:rPr>
        <w:t>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“Components”</w:t>
      </w:r>
      <w:r>
        <w:rPr>
          <w:rFonts w:ascii="Times New Roman" w:hAnsi="Times New Roman"/>
          <w:b w:val="false"/>
          <w:i w:val="false"/>
          <w:color w:val="000000"/>
          <w:sz w:val="22"/>
        </w:rPr>
        <w: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facias, rake boards, corner 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“Dripline”</w:t>
      </w:r>
      <w:r>
        <w:rPr>
          <w:rFonts w:ascii="Times New Roman" w:hAnsi="Times New Roman"/>
          <w:b w:val="false"/>
          <w:i w:val="false"/>
          <w:color w:val="000000"/>
          <w:sz w:val="22"/>
        </w:rPr>
        <w:t>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“Dust-lead hazard”</w:t>
      </w:r>
      <w:r>
        <w:rPr>
          <w:rFonts w:ascii="Times New Roman" w:hAnsi="Times New Roman"/>
          <w:b w:val="false"/>
          <w:i w:val="false"/>
          <w:color w:val="000000"/>
          <w:sz w:val="22"/>
        </w:rPr>
        <w:t> </w:t>
      </w:r>
      <w:r>
        <w:rPr>
          <w:rFonts w:ascii="Times New Roman" w:hAnsi="Times New Roman"/>
          <w:b w:val="false"/>
          <w:i w:val="false"/>
          <w:color w:val="000000"/>
          <w:sz w:val="22"/>
        </w:rPr>
        <w:t>means surface dust in residential dwellings or child-occupied facilities that contains a mass-per-area concentration of lead equal to or exceeding 5 micrograms per square foot on floors, 40 micrograms per square foot on interior windowsills, and 100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5 micrograms per square foot on floors, 40 micrograms per square foot on interior windowsills, and 100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renovation, remodeling, or repainting”</w:t>
      </w:r>
      <w:r>
        <w:rPr>
          <w:rFonts w:ascii="Times New Roman" w:hAnsi="Times New Roman"/>
          <w:b w:val="false"/>
          <w:i w:val="false"/>
          <w:color w:val="000000"/>
          <w:sz w:val="22"/>
        </w:rPr>
        <w:t>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“Friction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lead-based paint”</w:t>
      </w:r>
      <w:r>
        <w:rPr>
          <w:rFonts w:ascii="Times New Roman" w:hAnsi="Times New Roman"/>
          <w:b w:val="false"/>
          <w:i w:val="false"/>
          <w:color w:val="000000"/>
          <w:sz w:val="22"/>
        </w:rPr>
        <w: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for the elderly”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“Impact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w:t>
      </w:r>
      <w:r>
        <w:rPr>
          <w:rFonts w:ascii="Times New Roman" w:hAnsi="Times New Roman"/>
          <w:b w:val="false"/>
          <w:i w:val="false"/>
          <w:color w:val="000000"/>
          <w:sz w:val="22"/>
        </w:rPr>
        <w: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w:t>
      </w:r>
      <w:r>
        <w:rPr>
          <w:rFonts w:ascii="Times New Roman" w:hAnsi="Times New Roman"/>
          <w:b w:val="false"/>
          <w:i w:val="false"/>
          <w:color w:val="000000"/>
          <w:sz w:val="22"/>
        </w:rPr>
        <w:t>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“Living area”</w:t>
      </w:r>
      <w:r>
        <w:rPr>
          <w:rFonts w:ascii="Times New Roman" w:hAnsi="Times New Roman"/>
          <w:b w:val="false"/>
          <w:i w:val="false"/>
          <w:color w:val="000000"/>
          <w:sz w:val="22"/>
        </w:rPr>
        <w:t>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“Mid-yard”</w:t>
      </w:r>
      <w:r>
        <w:rPr>
          <w:rFonts w:ascii="Times New Roman" w:hAnsi="Times New Roman"/>
          <w:b w:val="false"/>
          <w:i w:val="false"/>
          <w:color w:val="000000"/>
          <w:sz w:val="22"/>
        </w:rPr>
        <w:t>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 area”</w:t>
      </w:r>
      <w:r>
        <w:rPr>
          <w:rFonts w:ascii="Times New Roman" w:hAnsi="Times New Roman"/>
          <w:b w:val="false"/>
          <w:i w:val="false"/>
          <w:color w:val="000000"/>
          <w:sz w:val="22"/>
        </w:rPr>
        <w:t>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entity”</w:t>
      </w:r>
      <w:r>
        <w:rPr>
          <w:rFonts w:ascii="Times New Roman" w:hAnsi="Times New Roman"/>
          <w:b w:val="false"/>
          <w:i w:val="false"/>
          <w:color w:val="000000"/>
          <w:sz w:val="22"/>
        </w:rPr>
        <w:t>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“Renovation, remodeling, repainting”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rule </w:t>
      </w:r>
      <w:hyperlink r:id="rId5">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 xml:space="preserve">(10A) and is performed by a certified lead abatement contractor as defined in rule </w:t>
      </w:r>
      <w:hyperlink r:id="rId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This includes, but is not limited to, removing walls, ceilings, and other painted building components; window replacement; floor refinishing; and sanding, scraping, stripping, water blasting, or otherwise removing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“Soil-lead hazard”</w:t>
      </w:r>
      <w:r>
        <w:rPr>
          <w:rFonts w:ascii="Times New Roman" w:hAnsi="Times New Roman"/>
          <w:b w:val="false"/>
          <w:i w:val="false"/>
          <w:color w:val="000000"/>
          <w:sz w:val="22"/>
        </w:rPr>
        <w:t>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housing”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0594D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903.pdf" Type="http://schemas.openxmlformats.org/officeDocument/2006/relationships/hyperlink" Id="rId4"/>
    <Relationship TargetMode="External" Target="https://www.legis.iowa.gov/docs/iac/rule/481.470.2.pdf" Type="http://schemas.openxmlformats.org/officeDocument/2006/relationships/hyperlink" Id="rId5"/>
    <Relationship TargetMode="External" Target="https://www.legis.iowa.gov/docs/iac/rule/481.470.2.pdf" Type="http://schemas.openxmlformats.org/officeDocument/2006/relationships/hyperlink" Id="rId6"/>
    <Relationship TargetMode="External" Target="https://www.legis.iowa.gov/docs/ico/chapter/10A.90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