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481—100.16</w:t>
      </w:r>
      <w:r>
        <w:rPr>
          <w:rFonts w:ascii="Times New Roman" w:hAnsi="Times New Roman"/>
          <w:b/>
          <w:i w:val="false"/>
          <w:color w:val="000000"/>
          <w:sz w:val="22"/>
        </w:rPr>
        <w:t xml:space="preserve">(99B) </w:t>
      </w:r>
      <w:r>
        <w:rPr>
          <w:rFonts w:ascii="Times New Roman" w:hAnsi="Times New Roman"/>
          <w:b/>
          <w:i w:val="false"/>
          <w:color w:val="000000"/>
          <w:sz w:val="22"/>
        </w:rPr>
        <w:t xml:space="preserve">Raffles. </w:t>
      </w:r>
      <w:r>
        <w:rPr>
          <w:rFonts w:ascii="Times New Roman" w:hAnsi="Times New Roman"/>
          <w:b w:val="false"/>
          <w:i w:val="false"/>
          <w:color w:val="000000"/>
          <w:sz w:val="22"/>
        </w:rPr>
        <w:t>The following apply to all raffles, including electronic raffles.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license must be in effect before promotions for the raffle can begin. The gambling event begins when the first entry is sold and ends when winning numbers are drawn. If an organization obtains a temporary license to conduct a raffle, the entirety of the raffle, including promotion, sale of entries and drawing, must fall within the time period for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100.16(2)</w:t>
      </w:r>
      <w:r>
        <w:rPr>
          <w:rFonts w:ascii="Times New Roman" w:hAnsi="Times New Roman"/>
          <w:b w:val="false"/>
          <w:i w:val="false"/>
          <w:color w:val="000000"/>
          <w:sz w:val="22"/>
        </w:rPr>
        <w:t> </w:t>
      </w:r>
      <w:r>
        <w:rPr>
          <w:rFonts w:ascii="Times New Roman" w:hAnsi="Times New Roman"/>
          <w:b w:val="false"/>
          <w:i/>
          <w:color w:val="000000"/>
          <w:sz w:val="22"/>
        </w:rPr>
        <w:t xml:space="preserve">Raffle entries—sales. </w:t>
      </w:r>
      <w:r>
        <w:rPr>
          <w:rFonts w:ascii="Times New Roman" w:hAnsi="Times New Roman"/>
          <w:b w:val="false"/>
          <w:i w:val="false"/>
          <w:color w:val="000000"/>
          <w:sz w:val="22"/>
        </w:rPr>
        <w:t>Any price may be charged for a raffle entry, and the price, including any discounts, shall be the same for every purchaser. Raffle entries shall not be purchased by credit card nor be sold outside the state of Iowa. Organizations shall comply with United States Postal Service regulations restricting the sale of raffle entries through the mail. The purchaser of a raffle entry shall be provided the location, date, and time of the corresponding raffle drawing at the time of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100.16(3)</w:t>
      </w:r>
      <w:r>
        <w:rPr>
          <w:rFonts w:ascii="Times New Roman" w:hAnsi="Times New Roman"/>
          <w:b w:val="false"/>
          <w:i w:val="false"/>
          <w:color w:val="000000"/>
          <w:sz w:val="22"/>
        </w:rPr>
        <w:t> </w:t>
      </w:r>
      <w:r>
        <w:rPr>
          <w:rFonts w:ascii="Times New Roman" w:hAnsi="Times New Roman"/>
          <w:b w:val="false"/>
          <w:i/>
          <w:color w:val="000000"/>
          <w:sz w:val="22"/>
        </w:rPr>
        <w:t xml:space="preserve">Raffle entries—discount. </w:t>
      </w:r>
      <w:r>
        <w:rPr>
          <w:rFonts w:ascii="Times New Roman" w:hAnsi="Times New Roman"/>
          <w:b w:val="false"/>
          <w:i w:val="false"/>
          <w:color w:val="000000"/>
          <w:sz w:val="22"/>
        </w:rPr>
        <w:t>A licensee may offer raffle entries for sale at a discounted rate if the discount is applied in a nondiscriminatory manner. The amount paid for entries shall not be determined by any variable characteristic, such as height, weight, or wingspan. The discount must be available to all persons throughout the duration of the raffle and posted on all promotional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100.16(4)</w:t>
      </w:r>
      <w:r>
        <w:rPr>
          <w:rFonts w:ascii="Times New Roman" w:hAnsi="Times New Roman"/>
          <w:b w:val="false"/>
          <w:i w:val="false"/>
          <w:color w:val="000000"/>
          <w:sz w:val="22"/>
        </w:rPr>
        <w:t> </w:t>
      </w:r>
      <w:r>
        <w:rPr>
          <w:rFonts w:ascii="Times New Roman" w:hAnsi="Times New Roman"/>
          <w:b w:val="false"/>
          <w:i/>
          <w:color w:val="000000"/>
          <w:sz w:val="22"/>
        </w:rPr>
        <w:t xml:space="preserve">Winners. </w:t>
      </w:r>
      <w:r>
        <w:rPr>
          <w:rFonts w:ascii="Times New Roman" w:hAnsi="Times New Roman"/>
          <w:b w:val="false"/>
          <w:i w:val="false"/>
          <w:color w:val="000000"/>
          <w:sz w:val="22"/>
        </w:rPr>
        <w:t>The drawing of the winning entry shall be done in a manner that allows the purchasers to observe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raffle shall clearly describe the date the prize will be considered to be won. If no specific winning date is specified, the prize will be considered to be won on the date of the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by which the prize shall be claimed will be no fewer than 14 days following the notification of the winner.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Notification will be considered to be as soon as practical so long as it is within one year of the prize being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prize is not claimed, the licensed QO may do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Continue to draw until a winner claims the prize. Each drawing will allow the time period specified in paragraph </w:t>
      </w:r>
      <w:hyperlink r:id="rId4">
        <w:r>
          <w:rPr>
            <w:rStyle w:val="Hyperlink"/>
            <w:rFonts w:ascii="Times New Roman" w:hAnsi="Times New Roman"/>
            <w:b w:val="false"/>
            <w:i w:val="false"/>
            <w:color w:val="000000"/>
            <w:sz w:val="22"/>
          </w:rPr>
          <w:t>100.16(4)</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claiming the prize.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Donate the unclaimed prize to another QO to be used for an educational, civic, public, charitable, patriotic, or religious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100.16(5)</w:t>
      </w:r>
      <w:r>
        <w:rPr>
          <w:rFonts w:ascii="Times New Roman" w:hAnsi="Times New Roman"/>
          <w:b w:val="false"/>
          <w:i w:val="false"/>
          <w:color w:val="000000"/>
          <w:sz w:val="22"/>
        </w:rPr>
        <w:t> </w:t>
      </w:r>
      <w:r>
        <w:rPr>
          <w:rFonts w:ascii="Times New Roman" w:hAnsi="Times New Roman"/>
          <w:b w:val="false"/>
          <w:i/>
          <w:color w:val="000000"/>
          <w:sz w:val="22"/>
        </w:rPr>
        <w:t xml:space="preserve">Prizes. </w:t>
      </w:r>
      <w:r>
        <w:rPr>
          <w:rFonts w:ascii="Times New Roman" w:hAnsi="Times New Roman"/>
          <w:b w:val="false"/>
          <w:i w:val="false"/>
          <w:color w:val="000000"/>
          <w:sz w:val="22"/>
        </w:rPr>
        <w:t>If a prize is merchandise, its value shall be determined by the purchase price paid by the organization or donor. The prize may be a single item or several items.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0014D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 xml:space="preserve">; </w:t>
      </w:r>
      <w:r>
        <w:rPr>
          <w:rFonts w:ascii="Times New Roman" w:hAnsi="Times New Roman"/>
          <w:b/>
          <w:i w:val="false"/>
          <w:color w:val="000000"/>
          <w:sz w:val="16"/>
        </w:rPr>
        <w:t>ARC 0593D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0.1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